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8C44" w14:textId="77777777" w:rsidR="004F79DD" w:rsidRPr="004F79DD" w:rsidRDefault="004F79DD" w:rsidP="004F79DD">
      <w:pPr>
        <w:widowControl w:val="0"/>
        <w:spacing w:line="240" w:lineRule="auto"/>
        <w:ind w:right="-1"/>
        <w:contextualSpacing/>
        <w:jc w:val="center"/>
        <w:rPr>
          <w:b/>
          <w:smallCaps/>
          <w:sz w:val="28"/>
          <w:szCs w:val="28"/>
        </w:rPr>
      </w:pPr>
      <w:r>
        <w:rPr>
          <w:b/>
          <w:smallCaps/>
          <w:sz w:val="28"/>
          <w:szCs w:val="28"/>
        </w:rPr>
        <w:t>Informazioni generali sui procedimenti giudiziari</w:t>
      </w:r>
    </w:p>
    <w:p w14:paraId="188408B6" w14:textId="77777777" w:rsidR="004F79DD" w:rsidRDefault="004F79DD" w:rsidP="004F79DD">
      <w:pPr>
        <w:widowControl w:val="0"/>
        <w:spacing w:line="240" w:lineRule="auto"/>
        <w:ind w:right="-1"/>
        <w:contextualSpacing/>
        <w:rPr>
          <w:sz w:val="22"/>
        </w:rPr>
      </w:pPr>
    </w:p>
    <w:p w14:paraId="1C4EF933" w14:textId="77777777" w:rsidR="004F79DD" w:rsidRPr="004F79DD" w:rsidRDefault="004F79DD" w:rsidP="004F79DD">
      <w:pPr>
        <w:widowControl w:val="0"/>
        <w:spacing w:line="240" w:lineRule="auto"/>
        <w:ind w:right="-1"/>
        <w:contextualSpacing/>
        <w:rPr>
          <w:szCs w:val="24"/>
        </w:rPr>
      </w:pPr>
    </w:p>
    <w:p w14:paraId="1CBACD28" w14:textId="77777777" w:rsidR="004F79DD" w:rsidRPr="008329D5" w:rsidRDefault="004F79DD" w:rsidP="00F94098">
      <w:pPr>
        <w:widowControl w:val="0"/>
        <w:spacing w:line="276" w:lineRule="auto"/>
        <w:ind w:right="-1"/>
        <w:contextualSpacing/>
        <w:jc w:val="center"/>
        <w:rPr>
          <w:b/>
          <w:szCs w:val="24"/>
        </w:rPr>
      </w:pPr>
      <w:r w:rsidRPr="008329D5">
        <w:rPr>
          <w:b/>
          <w:smallCaps/>
          <w:szCs w:val="24"/>
          <w:u w:val="single"/>
        </w:rPr>
        <w:t>Difficoltà</w:t>
      </w:r>
    </w:p>
    <w:p w14:paraId="455D30C7" w14:textId="77777777" w:rsidR="004F79DD" w:rsidRPr="004F79DD" w:rsidRDefault="004F79DD" w:rsidP="00F94098">
      <w:pPr>
        <w:widowControl w:val="0"/>
        <w:spacing w:line="276" w:lineRule="auto"/>
        <w:ind w:right="-1"/>
        <w:contextualSpacing/>
        <w:rPr>
          <w:szCs w:val="24"/>
        </w:rPr>
      </w:pPr>
      <w:r w:rsidRPr="004F79DD">
        <w:rPr>
          <w:szCs w:val="24"/>
        </w:rPr>
        <w:t xml:space="preserve">Si informa il cliente che </w:t>
      </w:r>
      <w:r w:rsidRPr="00F5798E">
        <w:rPr>
          <w:b/>
          <w:szCs w:val="24"/>
        </w:rPr>
        <w:t>ogni incarico ha una complessità sua propria</w:t>
      </w:r>
      <w:r w:rsidRPr="004F79DD">
        <w:rPr>
          <w:szCs w:val="24"/>
        </w:rPr>
        <w:t>, con una probabilità di prevedere gli esiti che varia</w:t>
      </w:r>
      <w:r w:rsidR="00430734">
        <w:rPr>
          <w:szCs w:val="24"/>
        </w:rPr>
        <w:t xml:space="preserve"> da caso a</w:t>
      </w:r>
      <w:r w:rsidRPr="004F79DD">
        <w:rPr>
          <w:szCs w:val="24"/>
        </w:rPr>
        <w:t xml:space="preserve"> caso.</w:t>
      </w:r>
    </w:p>
    <w:p w14:paraId="23251371" w14:textId="77777777" w:rsidR="004F79DD" w:rsidRPr="004F79DD" w:rsidRDefault="00430734" w:rsidP="00F94098">
      <w:pPr>
        <w:widowControl w:val="0"/>
        <w:spacing w:line="276" w:lineRule="auto"/>
        <w:ind w:right="-1"/>
        <w:contextualSpacing/>
        <w:rPr>
          <w:szCs w:val="24"/>
        </w:rPr>
      </w:pPr>
      <w:r>
        <w:rPr>
          <w:szCs w:val="24"/>
        </w:rPr>
        <w:t>I</w:t>
      </w:r>
      <w:r w:rsidR="004F79DD" w:rsidRPr="004F79DD">
        <w:rPr>
          <w:szCs w:val="24"/>
        </w:rPr>
        <w:t xml:space="preserve">l cliente ha diritto </w:t>
      </w:r>
      <w:r>
        <w:rPr>
          <w:szCs w:val="24"/>
        </w:rPr>
        <w:t>di conoscere la complessità della propria questione</w:t>
      </w:r>
      <w:r w:rsidR="004F79DD" w:rsidRPr="004F79DD">
        <w:rPr>
          <w:szCs w:val="24"/>
        </w:rPr>
        <w:t xml:space="preserve"> (alta, media o bassa) e le probabilità di esito favorevole.</w:t>
      </w:r>
    </w:p>
    <w:p w14:paraId="6067A506" w14:textId="77777777" w:rsidR="004F79DD" w:rsidRPr="004F79DD" w:rsidRDefault="00430734" w:rsidP="00F94098">
      <w:pPr>
        <w:widowControl w:val="0"/>
        <w:spacing w:line="276" w:lineRule="auto"/>
        <w:ind w:right="-1"/>
        <w:contextualSpacing/>
        <w:rPr>
          <w:szCs w:val="24"/>
        </w:rPr>
      </w:pPr>
      <w:r>
        <w:rPr>
          <w:szCs w:val="24"/>
        </w:rPr>
        <w:t>Ciascun</w:t>
      </w:r>
      <w:r w:rsidR="004F79DD" w:rsidRPr="004F79DD">
        <w:rPr>
          <w:szCs w:val="24"/>
        </w:rPr>
        <w:t xml:space="preserve"> </w:t>
      </w:r>
      <w:r w:rsidR="00FC6A2C">
        <w:rPr>
          <w:szCs w:val="24"/>
        </w:rPr>
        <w:t>processo</w:t>
      </w:r>
      <w:r w:rsidR="004F79DD" w:rsidRPr="004F79DD">
        <w:rPr>
          <w:szCs w:val="24"/>
        </w:rPr>
        <w:t>, anche quello apparentemente più semplice, è caratterizzato dall’</w:t>
      </w:r>
      <w:r w:rsidR="004F79DD" w:rsidRPr="00FC6A2C">
        <w:rPr>
          <w:b/>
          <w:szCs w:val="24"/>
        </w:rPr>
        <w:t>alea tipica dei procedimenti giudiziari</w:t>
      </w:r>
      <w:r w:rsidR="004F79DD" w:rsidRPr="004F79DD">
        <w:rPr>
          <w:szCs w:val="24"/>
        </w:rPr>
        <w:t>. Un caso identico può essere deciso in maniera differente da Giudici dello stesso Tribunale o dal medesimo Giudice, che ha mutato convincimento.</w:t>
      </w:r>
    </w:p>
    <w:p w14:paraId="0332C242" w14:textId="77777777" w:rsidR="004F79DD" w:rsidRPr="004F79DD" w:rsidRDefault="004F79DD" w:rsidP="00F94098">
      <w:pPr>
        <w:widowControl w:val="0"/>
        <w:spacing w:line="276" w:lineRule="auto"/>
        <w:ind w:right="-1"/>
        <w:contextualSpacing/>
        <w:rPr>
          <w:szCs w:val="24"/>
        </w:rPr>
      </w:pPr>
    </w:p>
    <w:p w14:paraId="4D5300BE" w14:textId="77777777" w:rsidR="004F79DD" w:rsidRPr="004F79DD" w:rsidRDefault="004F79DD" w:rsidP="00F94098">
      <w:pPr>
        <w:widowControl w:val="0"/>
        <w:spacing w:line="276" w:lineRule="auto"/>
        <w:ind w:right="-1" w:firstLine="284"/>
        <w:contextualSpacing/>
        <w:rPr>
          <w:szCs w:val="24"/>
        </w:rPr>
      </w:pPr>
      <w:r w:rsidRPr="004F79DD">
        <w:rPr>
          <w:szCs w:val="24"/>
        </w:rPr>
        <w:t xml:space="preserve">Le </w:t>
      </w:r>
      <w:r w:rsidRPr="004F79DD">
        <w:rPr>
          <w:b/>
          <w:szCs w:val="24"/>
        </w:rPr>
        <w:t>difficoltà che una controversia</w:t>
      </w:r>
      <w:r w:rsidRPr="004F79DD">
        <w:rPr>
          <w:szCs w:val="24"/>
        </w:rPr>
        <w:t xml:space="preserve"> può presentare sono legate, tra le altre, a:</w:t>
      </w:r>
    </w:p>
    <w:p w14:paraId="04505DA9"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Difficoltà probatorie / esito legato alle risultanze probatorie;</w:t>
      </w:r>
    </w:p>
    <w:p w14:paraId="1A25BE57" w14:textId="77777777" w:rsidR="004F79DD" w:rsidRPr="004F79DD" w:rsidRDefault="004F79DD" w:rsidP="00F94098">
      <w:pPr>
        <w:widowControl w:val="0"/>
        <w:numPr>
          <w:ilvl w:val="0"/>
          <w:numId w:val="1"/>
        </w:numPr>
        <w:spacing w:line="276" w:lineRule="auto"/>
        <w:ind w:right="-1"/>
        <w:contextualSpacing/>
        <w:rPr>
          <w:szCs w:val="24"/>
        </w:rPr>
      </w:pPr>
      <w:r>
        <w:rPr>
          <w:szCs w:val="24"/>
        </w:rPr>
        <w:t>Svolgimento di un accertamento tecnico</w:t>
      </w:r>
      <w:r w:rsidRPr="004F79DD">
        <w:rPr>
          <w:szCs w:val="24"/>
        </w:rPr>
        <w:t>;</w:t>
      </w:r>
    </w:p>
    <w:p w14:paraId="3503CDF2" w14:textId="77777777" w:rsidR="004F79DD" w:rsidRPr="004F79DD" w:rsidRDefault="004F79DD" w:rsidP="00F94098">
      <w:pPr>
        <w:widowControl w:val="0"/>
        <w:numPr>
          <w:ilvl w:val="0"/>
          <w:numId w:val="1"/>
        </w:numPr>
        <w:spacing w:line="276" w:lineRule="auto"/>
        <w:ind w:right="-1"/>
        <w:contextualSpacing/>
        <w:rPr>
          <w:szCs w:val="24"/>
        </w:rPr>
      </w:pPr>
      <w:r>
        <w:rPr>
          <w:szCs w:val="24"/>
        </w:rPr>
        <w:t>Ricerca dei documenti di parte;</w:t>
      </w:r>
      <w:r w:rsidRPr="004F79DD">
        <w:rPr>
          <w:szCs w:val="24"/>
        </w:rPr>
        <w:t xml:space="preserve"> </w:t>
      </w:r>
    </w:p>
    <w:p w14:paraId="6E009B8C"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Novità delle questioni giuridiche controverse;</w:t>
      </w:r>
    </w:p>
    <w:p w14:paraId="285C3383"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Complessità delle questioni giuridiche trattate;</w:t>
      </w:r>
    </w:p>
    <w:p w14:paraId="7430E08F"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Diversi orientamenti giurisprudenziali</w:t>
      </w:r>
      <w:r>
        <w:rPr>
          <w:szCs w:val="24"/>
        </w:rPr>
        <w:t xml:space="preserve"> (Cassazione)</w:t>
      </w:r>
      <w:r w:rsidRPr="004F79DD">
        <w:rPr>
          <w:szCs w:val="24"/>
        </w:rPr>
        <w:t>;</w:t>
      </w:r>
    </w:p>
    <w:p w14:paraId="1223C217"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Diversi orientamenti del Tribunale adito;</w:t>
      </w:r>
    </w:p>
    <w:p w14:paraId="00D9B4D1" w14:textId="77777777" w:rsidR="004F79DD" w:rsidRPr="004F79DD" w:rsidRDefault="004F79DD" w:rsidP="00F94098">
      <w:pPr>
        <w:widowControl w:val="0"/>
        <w:numPr>
          <w:ilvl w:val="0"/>
          <w:numId w:val="1"/>
        </w:numPr>
        <w:spacing w:line="276" w:lineRule="auto"/>
        <w:ind w:right="-1"/>
        <w:contextualSpacing/>
        <w:rPr>
          <w:szCs w:val="24"/>
        </w:rPr>
      </w:pPr>
      <w:r w:rsidRPr="004F79DD">
        <w:rPr>
          <w:szCs w:val="24"/>
        </w:rPr>
        <w:t>Difficoltà sulla giurisdizione / sulla competenza / sul rito / sulla proponibilità / sull’ammissibilità</w:t>
      </w:r>
      <w:r>
        <w:rPr>
          <w:szCs w:val="24"/>
        </w:rPr>
        <w:t>.</w:t>
      </w:r>
    </w:p>
    <w:p w14:paraId="3AFA5BD7" w14:textId="77777777" w:rsidR="004F79DD" w:rsidRDefault="004F79DD" w:rsidP="00F94098">
      <w:pPr>
        <w:widowControl w:val="0"/>
        <w:spacing w:line="276" w:lineRule="auto"/>
        <w:ind w:right="-1"/>
        <w:contextualSpacing/>
        <w:rPr>
          <w:szCs w:val="24"/>
        </w:rPr>
      </w:pPr>
    </w:p>
    <w:p w14:paraId="31A21D80" w14:textId="77777777" w:rsidR="00FC6A2C" w:rsidRDefault="00FC6A2C" w:rsidP="00FC6A2C">
      <w:pPr>
        <w:widowControl w:val="0"/>
        <w:spacing w:line="276" w:lineRule="auto"/>
        <w:ind w:right="-1"/>
        <w:rPr>
          <w:szCs w:val="24"/>
        </w:rPr>
      </w:pPr>
      <w:r>
        <w:rPr>
          <w:szCs w:val="24"/>
        </w:rPr>
        <w:t xml:space="preserve">A chi volesse cimentarsi nella lettura di qualche </w:t>
      </w:r>
      <w:r w:rsidRPr="00FC6A2C">
        <w:rPr>
          <w:b/>
          <w:szCs w:val="24"/>
        </w:rPr>
        <w:t>testo</w:t>
      </w:r>
      <w:r>
        <w:rPr>
          <w:szCs w:val="24"/>
        </w:rPr>
        <w:t xml:space="preserve"> per comprendere l’alea in</w:t>
      </w:r>
      <w:r w:rsidR="00CF095A">
        <w:rPr>
          <w:szCs w:val="24"/>
        </w:rPr>
        <w:t>sita nei giudizi, si consiglia</w:t>
      </w:r>
      <w:r>
        <w:rPr>
          <w:szCs w:val="24"/>
        </w:rPr>
        <w:t>:</w:t>
      </w:r>
    </w:p>
    <w:p w14:paraId="33528700" w14:textId="77777777" w:rsidR="00FC6A2C" w:rsidRDefault="00FC6A2C" w:rsidP="00FC6A2C">
      <w:pPr>
        <w:pStyle w:val="Paragrafoelenco"/>
        <w:widowControl w:val="0"/>
        <w:numPr>
          <w:ilvl w:val="0"/>
          <w:numId w:val="1"/>
        </w:numPr>
        <w:spacing w:line="276" w:lineRule="auto"/>
        <w:ind w:right="-1"/>
        <w:rPr>
          <w:szCs w:val="24"/>
        </w:rPr>
      </w:pPr>
      <w:r w:rsidRPr="00FC6A2C">
        <w:rPr>
          <w:smallCaps/>
          <w:szCs w:val="24"/>
        </w:rPr>
        <w:t>P. Calamandrei</w:t>
      </w:r>
      <w:r>
        <w:rPr>
          <w:szCs w:val="24"/>
        </w:rPr>
        <w:t xml:space="preserve">, </w:t>
      </w:r>
      <w:r w:rsidRPr="00FC6A2C">
        <w:rPr>
          <w:i/>
          <w:szCs w:val="24"/>
        </w:rPr>
        <w:t>Elogio dei giudici scritto da un avvocato</w:t>
      </w:r>
      <w:r>
        <w:rPr>
          <w:szCs w:val="24"/>
        </w:rPr>
        <w:t>;</w:t>
      </w:r>
    </w:p>
    <w:p w14:paraId="0011DA21" w14:textId="77777777" w:rsidR="00FC6A2C" w:rsidRPr="00FC6A2C" w:rsidRDefault="00FC6A2C" w:rsidP="00FC6A2C">
      <w:pPr>
        <w:pStyle w:val="Paragrafoelenco"/>
        <w:widowControl w:val="0"/>
        <w:numPr>
          <w:ilvl w:val="0"/>
          <w:numId w:val="1"/>
        </w:numPr>
        <w:spacing w:line="276" w:lineRule="auto"/>
        <w:ind w:right="-1"/>
        <w:rPr>
          <w:szCs w:val="24"/>
        </w:rPr>
      </w:pPr>
      <w:r w:rsidRPr="00FC6A2C">
        <w:rPr>
          <w:smallCaps/>
          <w:szCs w:val="24"/>
        </w:rPr>
        <w:t>G. Imbarcati</w:t>
      </w:r>
      <w:r>
        <w:rPr>
          <w:szCs w:val="24"/>
        </w:rPr>
        <w:t xml:space="preserve">, </w:t>
      </w:r>
      <w:r w:rsidRPr="00FC6A2C">
        <w:rPr>
          <w:i/>
          <w:szCs w:val="24"/>
        </w:rPr>
        <w:t>Gli avvocati … dovrebbero arrestarli da piccoli</w:t>
      </w:r>
      <w:r>
        <w:rPr>
          <w:szCs w:val="24"/>
        </w:rPr>
        <w:t>.</w:t>
      </w:r>
    </w:p>
    <w:p w14:paraId="47E9D045" w14:textId="77777777" w:rsidR="00FC6A2C" w:rsidRPr="004F79DD" w:rsidRDefault="00FC6A2C" w:rsidP="00F94098">
      <w:pPr>
        <w:widowControl w:val="0"/>
        <w:spacing w:line="276" w:lineRule="auto"/>
        <w:ind w:right="-1"/>
        <w:contextualSpacing/>
        <w:rPr>
          <w:szCs w:val="24"/>
        </w:rPr>
      </w:pPr>
    </w:p>
    <w:p w14:paraId="6FE7CE51" w14:textId="77777777" w:rsidR="004F79DD" w:rsidRPr="004F79DD" w:rsidRDefault="004F79DD" w:rsidP="00F94098">
      <w:pPr>
        <w:widowControl w:val="0"/>
        <w:spacing w:line="276" w:lineRule="auto"/>
        <w:ind w:right="-1"/>
        <w:contextualSpacing/>
        <w:rPr>
          <w:szCs w:val="24"/>
        </w:rPr>
      </w:pPr>
    </w:p>
    <w:p w14:paraId="2AE2EC71" w14:textId="77777777" w:rsidR="004F79DD" w:rsidRPr="00F94098" w:rsidRDefault="004F79DD" w:rsidP="00F94098">
      <w:pPr>
        <w:widowControl w:val="0"/>
        <w:spacing w:line="276" w:lineRule="auto"/>
        <w:ind w:left="567" w:right="-1" w:firstLine="0"/>
        <w:contextualSpacing/>
        <w:jc w:val="center"/>
        <w:rPr>
          <w:b/>
          <w:szCs w:val="24"/>
        </w:rPr>
      </w:pPr>
      <w:r w:rsidRPr="00F94098">
        <w:rPr>
          <w:b/>
          <w:smallCaps/>
          <w:szCs w:val="24"/>
          <w:u w:val="single"/>
        </w:rPr>
        <w:t>Spese e compensi presumibili</w:t>
      </w:r>
    </w:p>
    <w:p w14:paraId="5E957DFF" w14:textId="77777777" w:rsidR="00430734" w:rsidRDefault="00430734" w:rsidP="00F94098">
      <w:pPr>
        <w:widowControl w:val="0"/>
        <w:spacing w:line="276" w:lineRule="auto"/>
        <w:ind w:right="-1"/>
        <w:contextualSpacing/>
        <w:rPr>
          <w:szCs w:val="24"/>
        </w:rPr>
      </w:pPr>
    </w:p>
    <w:p w14:paraId="280F7C66" w14:textId="77777777" w:rsidR="004F79DD" w:rsidRDefault="004F79DD" w:rsidP="00F94098">
      <w:pPr>
        <w:widowControl w:val="0"/>
        <w:spacing w:line="276" w:lineRule="auto"/>
        <w:ind w:right="-1"/>
        <w:contextualSpacing/>
        <w:rPr>
          <w:szCs w:val="24"/>
        </w:rPr>
      </w:pPr>
      <w:r>
        <w:rPr>
          <w:szCs w:val="24"/>
        </w:rPr>
        <w:t xml:space="preserve">Le </w:t>
      </w:r>
      <w:r w:rsidRPr="00F5798E">
        <w:rPr>
          <w:b/>
          <w:smallCaps/>
          <w:szCs w:val="24"/>
        </w:rPr>
        <w:t>spese</w:t>
      </w:r>
      <w:r>
        <w:rPr>
          <w:szCs w:val="24"/>
        </w:rPr>
        <w:t xml:space="preserve"> necessarie ad affrontare un giudizio varia</w:t>
      </w:r>
      <w:r w:rsidR="00430734">
        <w:rPr>
          <w:szCs w:val="24"/>
        </w:rPr>
        <w:t>no in ragione del caso concreto:</w:t>
      </w:r>
    </w:p>
    <w:p w14:paraId="752429F2" w14:textId="77777777" w:rsidR="004F79DD" w:rsidRPr="00F5798E" w:rsidRDefault="004F79DD" w:rsidP="00F94098">
      <w:pPr>
        <w:widowControl w:val="0"/>
        <w:spacing w:line="276" w:lineRule="auto"/>
        <w:ind w:right="-1"/>
        <w:contextualSpacing/>
        <w:rPr>
          <w:b/>
          <w:szCs w:val="24"/>
        </w:rPr>
      </w:pPr>
      <w:r w:rsidRPr="004F79DD">
        <w:rPr>
          <w:szCs w:val="24"/>
        </w:rPr>
        <w:t xml:space="preserve">- </w:t>
      </w:r>
      <w:r w:rsidR="00F5798E">
        <w:rPr>
          <w:b/>
          <w:szCs w:val="24"/>
        </w:rPr>
        <w:t>introduzione del giudizio: c</w:t>
      </w:r>
      <w:r w:rsidRPr="004F79DD">
        <w:rPr>
          <w:b/>
          <w:szCs w:val="24"/>
        </w:rPr>
        <w:t xml:space="preserve">ontributo unificato </w:t>
      </w:r>
      <w:r>
        <w:rPr>
          <w:szCs w:val="24"/>
        </w:rPr>
        <w:t xml:space="preserve">oltre alla </w:t>
      </w:r>
      <w:r w:rsidRPr="004F79DD">
        <w:rPr>
          <w:szCs w:val="24"/>
        </w:rPr>
        <w:t>marc</w:t>
      </w:r>
      <w:r>
        <w:rPr>
          <w:szCs w:val="24"/>
        </w:rPr>
        <w:t>a</w:t>
      </w:r>
      <w:r w:rsidRPr="004F79DD">
        <w:rPr>
          <w:szCs w:val="24"/>
        </w:rPr>
        <w:t xml:space="preserve"> da bollo (€ 27,00)</w:t>
      </w:r>
      <w:r>
        <w:rPr>
          <w:szCs w:val="24"/>
        </w:rPr>
        <w:t xml:space="preserve">, i giudizi per essere introdotti necessitano del pagamento del contributo unificato, la cui entità </w:t>
      </w:r>
      <w:r w:rsidR="00F5798E">
        <w:rPr>
          <w:szCs w:val="24"/>
        </w:rPr>
        <w:t>varia in base all’organo giudiziario adito e al valore della pratica. Per avere riscontro dell’importo del “contributo unificato”, si può cercare la relativa voce su un motore di rice</w:t>
      </w:r>
      <w:r w:rsidR="00430734">
        <w:rPr>
          <w:szCs w:val="24"/>
        </w:rPr>
        <w:t>rca in internet, che rinvierà a tabelle aggiornate;</w:t>
      </w:r>
      <w:r w:rsidRPr="004F79DD">
        <w:rPr>
          <w:szCs w:val="24"/>
        </w:rPr>
        <w:t xml:space="preserve"> </w:t>
      </w:r>
    </w:p>
    <w:p w14:paraId="076A2167" w14:textId="77777777" w:rsidR="004F79DD" w:rsidRPr="004F79DD" w:rsidRDefault="004F79DD" w:rsidP="00F94098">
      <w:pPr>
        <w:widowControl w:val="0"/>
        <w:spacing w:line="276" w:lineRule="auto"/>
        <w:ind w:right="-1"/>
        <w:contextualSpacing/>
        <w:rPr>
          <w:szCs w:val="24"/>
        </w:rPr>
      </w:pPr>
      <w:r w:rsidRPr="004F79DD">
        <w:rPr>
          <w:szCs w:val="24"/>
        </w:rPr>
        <w:t xml:space="preserve">- </w:t>
      </w:r>
      <w:r w:rsidRPr="004F79DD">
        <w:rPr>
          <w:b/>
          <w:szCs w:val="24"/>
        </w:rPr>
        <w:t>spese di notifica</w:t>
      </w:r>
      <w:r w:rsidR="00F5798E">
        <w:rPr>
          <w:szCs w:val="24"/>
        </w:rPr>
        <w:t xml:space="preserve">: </w:t>
      </w:r>
      <w:r w:rsidRPr="004F79DD">
        <w:rPr>
          <w:szCs w:val="24"/>
        </w:rPr>
        <w:t>da 10 a 20 euro circa per ogni notifica</w:t>
      </w:r>
      <w:r w:rsidR="00F5798E">
        <w:rPr>
          <w:szCs w:val="24"/>
        </w:rPr>
        <w:t xml:space="preserve"> cartacea</w:t>
      </w:r>
      <w:r w:rsidRPr="004F79DD">
        <w:rPr>
          <w:szCs w:val="24"/>
        </w:rPr>
        <w:t>;</w:t>
      </w:r>
      <w:r w:rsidR="00F5798E">
        <w:rPr>
          <w:szCs w:val="24"/>
        </w:rPr>
        <w:t xml:space="preserve"> la notifica cartacea presuppone – di regola –</w:t>
      </w:r>
      <w:r w:rsidR="00430734">
        <w:rPr>
          <w:szCs w:val="24"/>
        </w:rPr>
        <w:t xml:space="preserve"> delle spese di copia dell’atto;</w:t>
      </w:r>
    </w:p>
    <w:p w14:paraId="0D9022E5" w14:textId="77777777" w:rsidR="00430734" w:rsidRPr="004F79DD" w:rsidRDefault="00430734" w:rsidP="00430734">
      <w:pPr>
        <w:widowControl w:val="0"/>
        <w:spacing w:line="276" w:lineRule="auto"/>
        <w:ind w:right="-1"/>
        <w:contextualSpacing/>
        <w:rPr>
          <w:szCs w:val="24"/>
        </w:rPr>
      </w:pPr>
      <w:r w:rsidRPr="004F79DD">
        <w:rPr>
          <w:szCs w:val="24"/>
        </w:rPr>
        <w:t xml:space="preserve">- </w:t>
      </w:r>
      <w:r w:rsidRPr="004F79DD">
        <w:rPr>
          <w:b/>
          <w:szCs w:val="24"/>
        </w:rPr>
        <w:t>spese di segreteria</w:t>
      </w:r>
      <w:r>
        <w:rPr>
          <w:szCs w:val="24"/>
        </w:rPr>
        <w:t xml:space="preserve"> per copia atti;</w:t>
      </w:r>
    </w:p>
    <w:p w14:paraId="6D9760B0" w14:textId="77777777" w:rsidR="004F79DD" w:rsidRPr="004F79DD" w:rsidRDefault="004F79DD" w:rsidP="00F94098">
      <w:pPr>
        <w:widowControl w:val="0"/>
        <w:spacing w:line="276" w:lineRule="auto"/>
        <w:ind w:right="-1"/>
        <w:contextualSpacing/>
        <w:rPr>
          <w:szCs w:val="24"/>
        </w:rPr>
      </w:pPr>
      <w:r w:rsidRPr="004F79DD">
        <w:rPr>
          <w:szCs w:val="24"/>
        </w:rPr>
        <w:t xml:space="preserve">- </w:t>
      </w:r>
      <w:r w:rsidRPr="004F79DD">
        <w:rPr>
          <w:b/>
          <w:szCs w:val="24"/>
        </w:rPr>
        <w:t>spese di trasferta</w:t>
      </w:r>
      <w:r w:rsidR="00F5798E">
        <w:rPr>
          <w:b/>
          <w:szCs w:val="24"/>
        </w:rPr>
        <w:t xml:space="preserve"> e soggiorno</w:t>
      </w:r>
      <w:r w:rsidR="00F5798E">
        <w:rPr>
          <w:szCs w:val="24"/>
        </w:rPr>
        <w:t xml:space="preserve"> dell’avvocato per ogni udienza, </w:t>
      </w:r>
      <w:r w:rsidR="00430734">
        <w:rPr>
          <w:szCs w:val="24"/>
        </w:rPr>
        <w:t>quando si svolgono</w:t>
      </w:r>
      <w:r w:rsidR="00F5798E">
        <w:rPr>
          <w:szCs w:val="24"/>
        </w:rPr>
        <w:t xml:space="preserve"> fuori dal circondario del Tribunale.</w:t>
      </w:r>
    </w:p>
    <w:p w14:paraId="6365344D" w14:textId="77777777" w:rsidR="004F79DD" w:rsidRPr="004F79DD" w:rsidRDefault="004F79DD" w:rsidP="00F94098">
      <w:pPr>
        <w:widowControl w:val="0"/>
        <w:spacing w:line="276" w:lineRule="auto"/>
        <w:ind w:right="-1"/>
        <w:contextualSpacing/>
        <w:rPr>
          <w:szCs w:val="24"/>
        </w:rPr>
      </w:pPr>
      <w:r w:rsidRPr="004F79DD">
        <w:rPr>
          <w:szCs w:val="24"/>
        </w:rPr>
        <w:t xml:space="preserve">- </w:t>
      </w:r>
      <w:r w:rsidRPr="004F79DD">
        <w:rPr>
          <w:b/>
          <w:szCs w:val="24"/>
        </w:rPr>
        <w:t>C.T.U.</w:t>
      </w:r>
      <w:r w:rsidR="00F5798E">
        <w:rPr>
          <w:szCs w:val="24"/>
        </w:rPr>
        <w:t>: se il Giudice dispone la Consulenza Tecnica di Ufficio, il costo della stessa dovrà essere anticipato da un</w:t>
      </w:r>
      <w:r w:rsidR="00430734">
        <w:rPr>
          <w:szCs w:val="24"/>
        </w:rPr>
        <w:t>a o tutte le parti del giudizio.</w:t>
      </w:r>
      <w:r w:rsidR="00F5798E">
        <w:rPr>
          <w:szCs w:val="24"/>
        </w:rPr>
        <w:t xml:space="preserve"> </w:t>
      </w:r>
      <w:r w:rsidR="00430734">
        <w:rPr>
          <w:szCs w:val="24"/>
        </w:rPr>
        <w:t>D</w:t>
      </w:r>
      <w:r w:rsidR="00F5798E">
        <w:rPr>
          <w:szCs w:val="24"/>
        </w:rPr>
        <w:t>i regola anticipa le spese l’attore o chi chiede la stessa. I costi sono regolati dal d.P.R. 30 maggio 200</w:t>
      </w:r>
      <w:r w:rsidR="00F5798E" w:rsidRPr="00F5798E">
        <w:t>2, n. 115 (Testo unico delle disposizioni legislative e regolamentari in materia di spese di giustizia</w:t>
      </w:r>
      <w:r w:rsidR="00F5798E">
        <w:rPr>
          <w:szCs w:val="24"/>
        </w:rPr>
        <w:t>).</w:t>
      </w:r>
    </w:p>
    <w:p w14:paraId="3C944B42" w14:textId="77777777" w:rsidR="004F79DD" w:rsidRPr="004F79DD" w:rsidRDefault="004F79DD" w:rsidP="00F94098">
      <w:pPr>
        <w:widowControl w:val="0"/>
        <w:spacing w:line="276" w:lineRule="auto"/>
        <w:ind w:right="-1"/>
        <w:contextualSpacing/>
        <w:rPr>
          <w:szCs w:val="24"/>
        </w:rPr>
      </w:pPr>
      <w:r w:rsidRPr="004F79DD">
        <w:rPr>
          <w:szCs w:val="24"/>
        </w:rPr>
        <w:lastRenderedPageBreak/>
        <w:t xml:space="preserve">- </w:t>
      </w:r>
      <w:r w:rsidRPr="004F79DD">
        <w:rPr>
          <w:b/>
          <w:szCs w:val="24"/>
        </w:rPr>
        <w:t>spese tributarie</w:t>
      </w:r>
      <w:r w:rsidRPr="004F79DD">
        <w:rPr>
          <w:szCs w:val="24"/>
        </w:rPr>
        <w:t>: es. spese di registrazione del decreto ingiuntivo, della sentenza/ordinanza, del lodo</w:t>
      </w:r>
      <w:r w:rsidR="00F5798E">
        <w:rPr>
          <w:szCs w:val="24"/>
        </w:rPr>
        <w:t>. Le stesse gravano solidalmente sulle parti del giudizio.</w:t>
      </w:r>
      <w:r w:rsidR="00430734">
        <w:rPr>
          <w:szCs w:val="24"/>
        </w:rPr>
        <w:t xml:space="preserve"> Spesso, tuttavia, sono anticipate da chi ne ha interesse.</w:t>
      </w:r>
    </w:p>
    <w:p w14:paraId="2018024A" w14:textId="77777777" w:rsidR="004F79DD" w:rsidRDefault="004F79DD" w:rsidP="00F94098">
      <w:pPr>
        <w:widowControl w:val="0"/>
        <w:spacing w:line="276" w:lineRule="auto"/>
        <w:ind w:right="-1"/>
        <w:contextualSpacing/>
        <w:rPr>
          <w:szCs w:val="24"/>
        </w:rPr>
      </w:pPr>
    </w:p>
    <w:p w14:paraId="541C8628" w14:textId="77777777" w:rsidR="004F79DD" w:rsidRDefault="004F79DD" w:rsidP="00F94098">
      <w:pPr>
        <w:widowControl w:val="0"/>
        <w:spacing w:line="276" w:lineRule="auto"/>
        <w:ind w:right="-1"/>
        <w:contextualSpacing/>
        <w:rPr>
          <w:szCs w:val="24"/>
        </w:rPr>
      </w:pPr>
    </w:p>
    <w:p w14:paraId="65538BFD" w14:textId="77777777" w:rsidR="00F94098" w:rsidRDefault="00F5798E" w:rsidP="00F94098">
      <w:pPr>
        <w:widowControl w:val="0"/>
        <w:spacing w:line="276" w:lineRule="auto"/>
        <w:ind w:right="-1"/>
        <w:contextualSpacing/>
        <w:rPr>
          <w:szCs w:val="24"/>
        </w:rPr>
      </w:pPr>
      <w:r>
        <w:rPr>
          <w:szCs w:val="24"/>
        </w:rPr>
        <w:t xml:space="preserve">I </w:t>
      </w:r>
      <w:r w:rsidRPr="00F5798E">
        <w:rPr>
          <w:b/>
          <w:smallCaps/>
          <w:szCs w:val="24"/>
        </w:rPr>
        <w:t>compensi</w:t>
      </w:r>
      <w:r>
        <w:rPr>
          <w:szCs w:val="24"/>
        </w:rPr>
        <w:t xml:space="preserve"> che i</w:t>
      </w:r>
      <w:r w:rsidR="004F79DD" w:rsidRPr="004F79DD">
        <w:rPr>
          <w:szCs w:val="24"/>
        </w:rPr>
        <w:t xml:space="preserve">l cliente </w:t>
      </w:r>
      <w:r w:rsidR="00430734">
        <w:rPr>
          <w:szCs w:val="24"/>
        </w:rPr>
        <w:t>deve</w:t>
      </w:r>
      <w:r>
        <w:rPr>
          <w:szCs w:val="24"/>
        </w:rPr>
        <w:t xml:space="preserve"> versare all’avvocato sono – di regola – proporziona</w:t>
      </w:r>
      <w:r w:rsidR="00F94098">
        <w:rPr>
          <w:szCs w:val="24"/>
        </w:rPr>
        <w:t>ti</w:t>
      </w:r>
      <w:r>
        <w:rPr>
          <w:szCs w:val="24"/>
        </w:rPr>
        <w:t xml:space="preserve"> al valore della causa, salvo diverso accordo scritto.</w:t>
      </w:r>
    </w:p>
    <w:p w14:paraId="512E527C" w14:textId="77777777" w:rsidR="00F5798E" w:rsidRDefault="00F94098" w:rsidP="00F94098">
      <w:pPr>
        <w:widowControl w:val="0"/>
        <w:spacing w:line="276" w:lineRule="auto"/>
        <w:ind w:right="-1"/>
        <w:contextualSpacing/>
        <w:rPr>
          <w:szCs w:val="24"/>
        </w:rPr>
      </w:pPr>
      <w:r>
        <w:rPr>
          <w:szCs w:val="24"/>
        </w:rPr>
        <w:t>Il tariffario attualmente in vigore, se non vi è un diverso accordo scritto</w:t>
      </w:r>
      <w:r w:rsidR="00430734">
        <w:rPr>
          <w:szCs w:val="24"/>
        </w:rPr>
        <w:t xml:space="preserve"> tra avvocato e cliente</w:t>
      </w:r>
      <w:r>
        <w:rPr>
          <w:szCs w:val="24"/>
        </w:rPr>
        <w:t>, è disciplinato d</w:t>
      </w:r>
      <w:r w:rsidRPr="00F94098">
        <w:rPr>
          <w:szCs w:val="24"/>
        </w:rPr>
        <w:t xml:space="preserve">al </w:t>
      </w:r>
      <w:r w:rsidRPr="00F94098">
        <w:rPr>
          <w:rFonts w:cs="Courier New"/>
          <w:b/>
          <w:szCs w:val="24"/>
        </w:rPr>
        <w:t>Decreto del Ministero della Giustizia, 10 marzo 2014 n. 55</w:t>
      </w:r>
      <w:r>
        <w:rPr>
          <w:rFonts w:cs="Courier New"/>
          <w:b/>
          <w:szCs w:val="24"/>
        </w:rPr>
        <w:t xml:space="preserve"> </w:t>
      </w:r>
      <w:r>
        <w:rPr>
          <w:rFonts w:cs="Courier New"/>
          <w:szCs w:val="24"/>
        </w:rPr>
        <w:t>(</w:t>
      </w:r>
      <w:hyperlink r:id="rId7" w:history="1">
        <w:r w:rsidRPr="00615733">
          <w:rPr>
            <w:rStyle w:val="Collegamentoipertestuale"/>
            <w:rFonts w:cs="Courier New"/>
            <w:szCs w:val="24"/>
          </w:rPr>
          <w:t>https://www.giustizia.it/giustizia/it/mg_1_8_1.wp?facetNode_1=3_1_4&amp;facetNode_3=0_5&amp;facetNode_2=4_43&amp;previsiousPage=mg_1_8&amp;contentId=SDC1127143</w:t>
        </w:r>
      </w:hyperlink>
      <w:r>
        <w:rPr>
          <w:rFonts w:cs="Courier New"/>
          <w:szCs w:val="24"/>
        </w:rPr>
        <w:t xml:space="preserve"> )</w:t>
      </w:r>
      <w:r w:rsidRPr="00F94098">
        <w:rPr>
          <w:rFonts w:cs="Courier New"/>
          <w:szCs w:val="24"/>
        </w:rPr>
        <w:t>.</w:t>
      </w:r>
    </w:p>
    <w:p w14:paraId="791F3643" w14:textId="77777777" w:rsidR="004F79DD" w:rsidRPr="004F79DD" w:rsidRDefault="004F79DD" w:rsidP="00F94098">
      <w:pPr>
        <w:widowControl w:val="0"/>
        <w:spacing w:line="276" w:lineRule="auto"/>
        <w:ind w:right="-1"/>
        <w:contextualSpacing/>
        <w:rPr>
          <w:szCs w:val="24"/>
        </w:rPr>
      </w:pPr>
    </w:p>
    <w:p w14:paraId="3D7192AA" w14:textId="77777777" w:rsidR="00F94098" w:rsidRDefault="00F94098" w:rsidP="00F94098">
      <w:pPr>
        <w:widowControl w:val="0"/>
        <w:spacing w:line="276" w:lineRule="auto"/>
        <w:ind w:right="-1"/>
        <w:contextualSpacing/>
        <w:jc w:val="center"/>
        <w:rPr>
          <w:b/>
          <w:smallCaps/>
          <w:szCs w:val="24"/>
        </w:rPr>
      </w:pPr>
    </w:p>
    <w:p w14:paraId="49145401" w14:textId="77777777" w:rsidR="00F94098" w:rsidRDefault="00F94098" w:rsidP="00F94098">
      <w:pPr>
        <w:widowControl w:val="0"/>
        <w:spacing w:line="276" w:lineRule="auto"/>
        <w:ind w:right="-1"/>
        <w:contextualSpacing/>
        <w:jc w:val="center"/>
        <w:rPr>
          <w:b/>
          <w:smallCaps/>
          <w:szCs w:val="24"/>
        </w:rPr>
      </w:pPr>
    </w:p>
    <w:p w14:paraId="2BE798CF" w14:textId="77777777" w:rsidR="004F79DD" w:rsidRPr="00F94098" w:rsidRDefault="004F79DD" w:rsidP="00F94098">
      <w:pPr>
        <w:widowControl w:val="0"/>
        <w:spacing w:line="276" w:lineRule="auto"/>
        <w:ind w:right="-1"/>
        <w:contextualSpacing/>
        <w:jc w:val="center"/>
        <w:rPr>
          <w:b/>
          <w:smallCaps/>
          <w:szCs w:val="24"/>
          <w:u w:val="single"/>
        </w:rPr>
      </w:pPr>
      <w:r w:rsidRPr="00F94098">
        <w:rPr>
          <w:b/>
          <w:smallCaps/>
          <w:szCs w:val="24"/>
          <w:u w:val="single"/>
        </w:rPr>
        <w:t>Durata presumibile</w:t>
      </w:r>
    </w:p>
    <w:p w14:paraId="6EDE0CFF" w14:textId="77777777" w:rsidR="004F79DD" w:rsidRPr="004F79DD" w:rsidRDefault="004F79DD" w:rsidP="00F94098">
      <w:pPr>
        <w:spacing w:line="276" w:lineRule="auto"/>
        <w:rPr>
          <w:szCs w:val="24"/>
        </w:rPr>
      </w:pPr>
      <w:r w:rsidRPr="004F79DD">
        <w:rPr>
          <w:szCs w:val="24"/>
        </w:rPr>
        <w:t xml:space="preserve">In </w:t>
      </w:r>
      <w:r w:rsidR="00F94098">
        <w:rPr>
          <w:szCs w:val="24"/>
        </w:rPr>
        <w:t>maniera molto approssimativa</w:t>
      </w:r>
      <w:r w:rsidRPr="004F79DD">
        <w:rPr>
          <w:szCs w:val="24"/>
        </w:rPr>
        <w:t>:</w:t>
      </w:r>
    </w:p>
    <w:p w14:paraId="57A57DA2" w14:textId="77777777" w:rsidR="004F79DD" w:rsidRPr="004F79DD" w:rsidRDefault="004F79DD" w:rsidP="00F94098">
      <w:pPr>
        <w:numPr>
          <w:ilvl w:val="0"/>
          <w:numId w:val="1"/>
        </w:numPr>
        <w:spacing w:line="276" w:lineRule="auto"/>
        <w:rPr>
          <w:szCs w:val="24"/>
        </w:rPr>
      </w:pPr>
      <w:r w:rsidRPr="004F79DD">
        <w:rPr>
          <w:szCs w:val="24"/>
        </w:rPr>
        <w:t xml:space="preserve"> il </w:t>
      </w:r>
      <w:r w:rsidRPr="00430734">
        <w:rPr>
          <w:b/>
          <w:szCs w:val="24"/>
        </w:rPr>
        <w:t>giudizio civile</w:t>
      </w:r>
      <w:r w:rsidRPr="004F79DD">
        <w:rPr>
          <w:szCs w:val="24"/>
        </w:rPr>
        <w:t xml:space="preserve"> ha una durata di svariati anni (dai 6 anni in su). Salvo che per i giudizi innanzi al Giudice di Pace dove di </w:t>
      </w:r>
      <w:r w:rsidR="00430734">
        <w:rPr>
          <w:szCs w:val="24"/>
        </w:rPr>
        <w:t>regola ha una durata inferiore. Influisce molto il carico di lavoro dell’organo adito;</w:t>
      </w:r>
    </w:p>
    <w:p w14:paraId="02D19861" w14:textId="77777777" w:rsidR="004F79DD" w:rsidRPr="004F79DD" w:rsidRDefault="004F79DD" w:rsidP="00F94098">
      <w:pPr>
        <w:numPr>
          <w:ilvl w:val="0"/>
          <w:numId w:val="1"/>
        </w:numPr>
        <w:spacing w:line="276" w:lineRule="auto"/>
        <w:rPr>
          <w:szCs w:val="24"/>
        </w:rPr>
      </w:pPr>
      <w:r w:rsidRPr="004F79DD">
        <w:rPr>
          <w:szCs w:val="24"/>
        </w:rPr>
        <w:t>il giudizio amministrativo, salvo eccezioni</w:t>
      </w:r>
      <w:r w:rsidR="00F94098">
        <w:rPr>
          <w:szCs w:val="24"/>
        </w:rPr>
        <w:t xml:space="preserve"> ed in base al TAR adito</w:t>
      </w:r>
      <w:r w:rsidRPr="004F79DD">
        <w:rPr>
          <w:szCs w:val="24"/>
        </w:rPr>
        <w:t>, dura pochi anni</w:t>
      </w:r>
      <w:r w:rsidR="00F94098">
        <w:rPr>
          <w:szCs w:val="24"/>
        </w:rPr>
        <w:t>.</w:t>
      </w:r>
    </w:p>
    <w:p w14:paraId="3DCF83A0" w14:textId="77777777" w:rsidR="004F79DD" w:rsidRDefault="004F79DD" w:rsidP="00F94098">
      <w:pPr>
        <w:spacing w:line="276" w:lineRule="auto"/>
        <w:ind w:left="644" w:firstLine="0"/>
        <w:rPr>
          <w:szCs w:val="24"/>
        </w:rPr>
      </w:pPr>
    </w:p>
    <w:p w14:paraId="5CF9686B" w14:textId="77777777" w:rsidR="006709F3" w:rsidRDefault="006709F3" w:rsidP="00F94098">
      <w:pPr>
        <w:spacing w:line="276" w:lineRule="auto"/>
        <w:ind w:left="644" w:firstLine="0"/>
        <w:rPr>
          <w:szCs w:val="24"/>
        </w:rPr>
      </w:pPr>
    </w:p>
    <w:p w14:paraId="6727B2CD" w14:textId="77777777" w:rsidR="006709F3" w:rsidRPr="00F94098" w:rsidRDefault="006709F3" w:rsidP="006709F3">
      <w:pPr>
        <w:widowControl w:val="0"/>
        <w:spacing w:line="276" w:lineRule="auto"/>
        <w:ind w:left="567" w:right="-1" w:firstLine="0"/>
        <w:contextualSpacing/>
        <w:jc w:val="center"/>
        <w:rPr>
          <w:b/>
          <w:szCs w:val="24"/>
        </w:rPr>
      </w:pPr>
      <w:r>
        <w:rPr>
          <w:b/>
          <w:smallCaps/>
          <w:szCs w:val="24"/>
          <w:u w:val="single"/>
        </w:rPr>
        <w:t>soccombenza e condanna alle spese</w:t>
      </w:r>
    </w:p>
    <w:p w14:paraId="79034BD2" w14:textId="77777777" w:rsidR="006709F3" w:rsidRDefault="006709F3" w:rsidP="006709F3">
      <w:pPr>
        <w:widowControl w:val="0"/>
        <w:spacing w:line="276" w:lineRule="auto"/>
        <w:ind w:right="-1"/>
        <w:contextualSpacing/>
        <w:rPr>
          <w:szCs w:val="24"/>
        </w:rPr>
      </w:pPr>
    </w:p>
    <w:p w14:paraId="0E809FF8" w14:textId="77777777" w:rsidR="006709F3" w:rsidRDefault="006709F3" w:rsidP="006709F3">
      <w:pPr>
        <w:widowControl w:val="0"/>
        <w:spacing w:line="276" w:lineRule="auto"/>
        <w:ind w:right="-1"/>
        <w:contextualSpacing/>
        <w:rPr>
          <w:szCs w:val="24"/>
        </w:rPr>
      </w:pPr>
      <w:r>
        <w:rPr>
          <w:szCs w:val="24"/>
        </w:rPr>
        <w:t xml:space="preserve">In </w:t>
      </w:r>
      <w:r w:rsidRPr="006709F3">
        <w:rPr>
          <w:b/>
          <w:szCs w:val="24"/>
        </w:rPr>
        <w:t>caso di esito favorevole</w:t>
      </w:r>
      <w:r>
        <w:rPr>
          <w:szCs w:val="24"/>
        </w:rPr>
        <w:t>, si ha diritto a ricevere dalla controparte le spese processuali, ossia:</w:t>
      </w:r>
    </w:p>
    <w:p w14:paraId="77859720" w14:textId="77777777" w:rsidR="006709F3" w:rsidRDefault="006709F3" w:rsidP="006709F3">
      <w:pPr>
        <w:pStyle w:val="Paragrafoelenco"/>
        <w:widowControl w:val="0"/>
        <w:numPr>
          <w:ilvl w:val="0"/>
          <w:numId w:val="1"/>
        </w:numPr>
        <w:spacing w:line="276" w:lineRule="auto"/>
        <w:ind w:right="-1"/>
        <w:rPr>
          <w:szCs w:val="24"/>
        </w:rPr>
      </w:pPr>
      <w:r>
        <w:rPr>
          <w:szCs w:val="24"/>
        </w:rPr>
        <w:t>le spese sostenute per eventuali Consulenze Tecniche di Ufficio;</w:t>
      </w:r>
    </w:p>
    <w:p w14:paraId="5B03A301" w14:textId="77777777" w:rsidR="006709F3" w:rsidRDefault="006709F3" w:rsidP="006709F3">
      <w:pPr>
        <w:pStyle w:val="Paragrafoelenco"/>
        <w:widowControl w:val="0"/>
        <w:numPr>
          <w:ilvl w:val="0"/>
          <w:numId w:val="1"/>
        </w:numPr>
        <w:spacing w:line="276" w:lineRule="auto"/>
        <w:ind w:right="-1"/>
        <w:rPr>
          <w:szCs w:val="24"/>
        </w:rPr>
      </w:pPr>
      <w:r>
        <w:rPr>
          <w:szCs w:val="24"/>
        </w:rPr>
        <w:t>le spese sostenute per eventuali Consulenze Tecniche di Parte;</w:t>
      </w:r>
    </w:p>
    <w:p w14:paraId="35914B49" w14:textId="77777777" w:rsidR="006709F3" w:rsidRDefault="006709F3" w:rsidP="006709F3">
      <w:pPr>
        <w:pStyle w:val="Paragrafoelenco"/>
        <w:widowControl w:val="0"/>
        <w:numPr>
          <w:ilvl w:val="0"/>
          <w:numId w:val="1"/>
        </w:numPr>
        <w:spacing w:line="276" w:lineRule="auto"/>
        <w:ind w:right="-1"/>
        <w:rPr>
          <w:szCs w:val="24"/>
        </w:rPr>
      </w:pPr>
      <w:r>
        <w:rPr>
          <w:szCs w:val="24"/>
        </w:rPr>
        <w:t>le spese indicate nella precedente voce (Spese e compensi presumibili);</w:t>
      </w:r>
    </w:p>
    <w:p w14:paraId="2201F4E8" w14:textId="77777777" w:rsidR="006709F3" w:rsidRDefault="006709F3" w:rsidP="006709F3">
      <w:pPr>
        <w:widowControl w:val="0"/>
        <w:spacing w:line="276" w:lineRule="auto"/>
        <w:ind w:right="-1"/>
        <w:rPr>
          <w:szCs w:val="24"/>
        </w:rPr>
      </w:pPr>
    </w:p>
    <w:p w14:paraId="401D2366" w14:textId="77777777" w:rsidR="006709F3" w:rsidRDefault="006709F3" w:rsidP="006709F3">
      <w:pPr>
        <w:widowControl w:val="0"/>
        <w:spacing w:line="276" w:lineRule="auto"/>
        <w:ind w:right="-1"/>
        <w:rPr>
          <w:szCs w:val="24"/>
        </w:rPr>
      </w:pPr>
      <w:r>
        <w:rPr>
          <w:szCs w:val="24"/>
        </w:rPr>
        <w:t>In merito ai compensi dell’avvocato, gli stessi saranno determinati dal Giudice sulla base del tariffario vigente, non sulla base dell’accordo stipulato eventualmente difforme. In tale ultimo caso, nei rapporti tra professionista (avvocato) e cliente, prevalgono gli accordi sottoscritti; la controparte dovrà versare quanto indicato dal Giudice.</w:t>
      </w:r>
    </w:p>
    <w:p w14:paraId="38E3E5F5" w14:textId="77777777" w:rsidR="006709F3" w:rsidRDefault="006709F3" w:rsidP="006709F3">
      <w:pPr>
        <w:widowControl w:val="0"/>
        <w:spacing w:line="276" w:lineRule="auto"/>
        <w:ind w:right="-1"/>
        <w:rPr>
          <w:szCs w:val="24"/>
        </w:rPr>
      </w:pPr>
    </w:p>
    <w:p w14:paraId="19F9C30B" w14:textId="77777777" w:rsidR="006709F3" w:rsidRDefault="006709F3" w:rsidP="006709F3">
      <w:pPr>
        <w:widowControl w:val="0"/>
        <w:spacing w:line="276" w:lineRule="auto"/>
        <w:ind w:right="-1"/>
        <w:rPr>
          <w:szCs w:val="24"/>
        </w:rPr>
      </w:pPr>
      <w:r>
        <w:rPr>
          <w:szCs w:val="24"/>
        </w:rPr>
        <w:t xml:space="preserve">Viceversa, in </w:t>
      </w:r>
      <w:r w:rsidRPr="006709F3">
        <w:rPr>
          <w:b/>
          <w:szCs w:val="24"/>
        </w:rPr>
        <w:t>caso di esito sfavorevole</w:t>
      </w:r>
      <w:r>
        <w:rPr>
          <w:szCs w:val="24"/>
        </w:rPr>
        <w:t>, avverrà l’esatto opposto di quanto descritto sopra.</w:t>
      </w:r>
    </w:p>
    <w:p w14:paraId="1DBC4B13" w14:textId="77777777" w:rsidR="006709F3" w:rsidRDefault="006709F3" w:rsidP="006709F3">
      <w:pPr>
        <w:widowControl w:val="0"/>
        <w:spacing w:line="276" w:lineRule="auto"/>
        <w:ind w:right="-1"/>
        <w:rPr>
          <w:szCs w:val="24"/>
        </w:rPr>
      </w:pPr>
    </w:p>
    <w:p w14:paraId="5B98D5B8" w14:textId="77777777" w:rsidR="006709F3" w:rsidRDefault="006709F3" w:rsidP="006709F3">
      <w:pPr>
        <w:widowControl w:val="0"/>
        <w:spacing w:line="276" w:lineRule="auto"/>
        <w:ind w:right="-1"/>
        <w:rPr>
          <w:szCs w:val="24"/>
        </w:rPr>
      </w:pPr>
      <w:r>
        <w:rPr>
          <w:szCs w:val="24"/>
        </w:rPr>
        <w:t xml:space="preserve">Potrebbe verificarsi ancora la </w:t>
      </w:r>
      <w:r w:rsidRPr="006709F3">
        <w:rPr>
          <w:b/>
          <w:szCs w:val="24"/>
        </w:rPr>
        <w:t>compensazione delle spese</w:t>
      </w:r>
      <w:r>
        <w:rPr>
          <w:szCs w:val="24"/>
        </w:rPr>
        <w:t>, disposta del Giudice, che produce i seguenti effetti: ognuno paga le spese del proprio avvocato e si dividono le rimanenti spese.</w:t>
      </w:r>
    </w:p>
    <w:p w14:paraId="114BC811" w14:textId="77777777" w:rsidR="00EC25B9" w:rsidRDefault="00EC25B9" w:rsidP="006709F3">
      <w:pPr>
        <w:widowControl w:val="0"/>
        <w:spacing w:line="276" w:lineRule="auto"/>
        <w:ind w:right="-1"/>
        <w:rPr>
          <w:szCs w:val="24"/>
        </w:rPr>
      </w:pPr>
    </w:p>
    <w:sectPr w:rsidR="00EC25B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1E11" w14:textId="77777777" w:rsidR="00103E2C" w:rsidRDefault="00103E2C" w:rsidP="004F79DD">
      <w:pPr>
        <w:spacing w:line="240" w:lineRule="auto"/>
      </w:pPr>
      <w:r>
        <w:separator/>
      </w:r>
    </w:p>
  </w:endnote>
  <w:endnote w:type="continuationSeparator" w:id="0">
    <w:p w14:paraId="361FBE7A" w14:textId="77777777" w:rsidR="00103E2C" w:rsidRDefault="00103E2C" w:rsidP="004F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12735"/>
      <w:docPartObj>
        <w:docPartGallery w:val="Page Numbers (Bottom of Page)"/>
        <w:docPartUnique/>
      </w:docPartObj>
    </w:sdtPr>
    <w:sdtEndPr/>
    <w:sdtContent>
      <w:sdt>
        <w:sdtPr>
          <w:id w:val="-1705238520"/>
          <w:docPartObj>
            <w:docPartGallery w:val="Page Numbers (Top of Page)"/>
            <w:docPartUnique/>
          </w:docPartObj>
        </w:sdtPr>
        <w:sdtEndPr/>
        <w:sdtContent>
          <w:p w14:paraId="65EE749D" w14:textId="77777777" w:rsidR="00FC6A2C" w:rsidRDefault="00FC6A2C" w:rsidP="00FC6A2C">
            <w:pPr>
              <w:pStyle w:val="Pidipagina"/>
              <w:jc w:val="center"/>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di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5BF5" w14:textId="77777777" w:rsidR="00103E2C" w:rsidRDefault="00103E2C" w:rsidP="004F79DD">
      <w:pPr>
        <w:spacing w:line="240" w:lineRule="auto"/>
      </w:pPr>
      <w:r>
        <w:separator/>
      </w:r>
    </w:p>
  </w:footnote>
  <w:footnote w:type="continuationSeparator" w:id="0">
    <w:p w14:paraId="6877F112" w14:textId="77777777" w:rsidR="00103E2C" w:rsidRDefault="00103E2C" w:rsidP="004F79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D1C"/>
    <w:multiLevelType w:val="hybridMultilevel"/>
    <w:tmpl w:val="A064ABCA"/>
    <w:lvl w:ilvl="0" w:tplc="01240626">
      <w:start w:val="1"/>
      <w:numFmt w:val="decimal"/>
      <w:lvlText w:val="%1)"/>
      <w:lvlJc w:val="left"/>
      <w:pPr>
        <w:ind w:left="794" w:hanging="51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75453786"/>
    <w:multiLevelType w:val="hybridMultilevel"/>
    <w:tmpl w:val="C456A018"/>
    <w:lvl w:ilvl="0" w:tplc="7BF6F8AE">
      <w:start w:val="1"/>
      <w:numFmt w:val="bullet"/>
      <w:lvlText w:val="-"/>
      <w:lvlJc w:val="left"/>
      <w:pPr>
        <w:ind w:left="644" w:hanging="360"/>
      </w:pPr>
      <w:rPr>
        <w:rFonts w:ascii="Garamond" w:eastAsia="Times New Roman" w:hAnsi="Garamond"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9DD"/>
    <w:rsid w:val="00103E2C"/>
    <w:rsid w:val="002870A3"/>
    <w:rsid w:val="0036544D"/>
    <w:rsid w:val="00386D4F"/>
    <w:rsid w:val="00430734"/>
    <w:rsid w:val="004A64F1"/>
    <w:rsid w:val="004F79DD"/>
    <w:rsid w:val="006709F3"/>
    <w:rsid w:val="006E6E7C"/>
    <w:rsid w:val="008329D5"/>
    <w:rsid w:val="00862C5C"/>
    <w:rsid w:val="00880F5C"/>
    <w:rsid w:val="00B67328"/>
    <w:rsid w:val="00B96078"/>
    <w:rsid w:val="00BA5149"/>
    <w:rsid w:val="00C340D4"/>
    <w:rsid w:val="00C65E6F"/>
    <w:rsid w:val="00C673B5"/>
    <w:rsid w:val="00CF095A"/>
    <w:rsid w:val="00D62BEE"/>
    <w:rsid w:val="00E12076"/>
    <w:rsid w:val="00EC25B9"/>
    <w:rsid w:val="00F5798E"/>
    <w:rsid w:val="00F94098"/>
    <w:rsid w:val="00FC6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29EA"/>
  <w15:docId w15:val="{FE285CD4-9E33-4E3A-85D5-975FDFF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9DD"/>
    <w:pPr>
      <w:spacing w:after="0" w:line="480" w:lineRule="auto"/>
      <w:ind w:firstLine="567"/>
      <w:jc w:val="both"/>
    </w:pPr>
    <w:rPr>
      <w:rFonts w:ascii="Garamond" w:eastAsia="Calibri"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79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F79DD"/>
    <w:rPr>
      <w:rFonts w:ascii="Garamond" w:eastAsia="Calibri" w:hAnsi="Garamond" w:cs="Times New Roman"/>
      <w:sz w:val="24"/>
    </w:rPr>
  </w:style>
  <w:style w:type="paragraph" w:styleId="Pidipagina">
    <w:name w:val="footer"/>
    <w:basedOn w:val="Normale"/>
    <w:link w:val="PidipaginaCarattere"/>
    <w:uiPriority w:val="99"/>
    <w:unhideWhenUsed/>
    <w:rsid w:val="004F79D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79DD"/>
    <w:rPr>
      <w:rFonts w:ascii="Garamond" w:eastAsia="Calibri" w:hAnsi="Garamond" w:cs="Times New Roman"/>
      <w:sz w:val="24"/>
    </w:rPr>
  </w:style>
  <w:style w:type="character" w:styleId="Collegamentoipertestuale">
    <w:name w:val="Hyperlink"/>
    <w:uiPriority w:val="99"/>
    <w:unhideWhenUsed/>
    <w:rsid w:val="004F79DD"/>
    <w:rPr>
      <w:color w:val="0000FF"/>
      <w:u w:val="single"/>
    </w:rPr>
  </w:style>
  <w:style w:type="character" w:customStyle="1" w:styleId="Menzionenonrisolta1">
    <w:name w:val="Menzione non risolta1"/>
    <w:basedOn w:val="Carpredefinitoparagrafo"/>
    <w:uiPriority w:val="99"/>
    <w:semiHidden/>
    <w:unhideWhenUsed/>
    <w:rsid w:val="00F94098"/>
    <w:rPr>
      <w:color w:val="808080"/>
      <w:shd w:val="clear" w:color="auto" w:fill="E6E6E6"/>
    </w:rPr>
  </w:style>
  <w:style w:type="paragraph" w:styleId="Paragrafoelenco">
    <w:name w:val="List Paragraph"/>
    <w:basedOn w:val="Normale"/>
    <w:uiPriority w:val="34"/>
    <w:qFormat/>
    <w:rsid w:val="0067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3251">
      <w:bodyDiv w:val="1"/>
      <w:marLeft w:val="0"/>
      <w:marRight w:val="0"/>
      <w:marTop w:val="0"/>
      <w:marBottom w:val="0"/>
      <w:divBdr>
        <w:top w:val="none" w:sz="0" w:space="0" w:color="auto"/>
        <w:left w:val="none" w:sz="0" w:space="0" w:color="auto"/>
        <w:bottom w:val="none" w:sz="0" w:space="0" w:color="auto"/>
        <w:right w:val="none" w:sz="0" w:space="0" w:color="auto"/>
      </w:divBdr>
    </w:div>
    <w:div w:id="18547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ustizia.it/giustizia/it/mg_1_8_1.wp?facetNode_1=3_1_4&amp;facetNode_3=0_5&amp;facetNode_2=4_43&amp;previsiousPage=mg_1_8&amp;contentId=SDC1127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Valeria di Corcia</cp:lastModifiedBy>
  <cp:revision>16</cp:revision>
  <cp:lastPrinted>2018-08-11T09:56:00Z</cp:lastPrinted>
  <dcterms:created xsi:type="dcterms:W3CDTF">2018-03-25T18:59:00Z</dcterms:created>
  <dcterms:modified xsi:type="dcterms:W3CDTF">2021-05-18T16:29:00Z</dcterms:modified>
</cp:coreProperties>
</file>