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15F26" w14:textId="77777777" w:rsidR="007866D3" w:rsidRDefault="007866D3" w:rsidP="007866D3">
      <w:pPr>
        <w:tabs>
          <w:tab w:val="left" w:pos="8504"/>
        </w:tabs>
        <w:autoSpaceDE w:val="0"/>
        <w:autoSpaceDN w:val="0"/>
        <w:adjustRightInd w:val="0"/>
        <w:spacing w:line="240" w:lineRule="auto"/>
        <w:jc w:val="center"/>
        <w:rPr>
          <w:b/>
          <w:smallCaps/>
          <w:color w:val="000000"/>
          <w:sz w:val="22"/>
        </w:rPr>
      </w:pPr>
      <w:r>
        <w:rPr>
          <w:b/>
          <w:smallCaps/>
          <w:color w:val="000000"/>
          <w:sz w:val="22"/>
        </w:rPr>
        <w:t>Media-conciliazione e negoziazione assistita</w:t>
      </w:r>
    </w:p>
    <w:p w14:paraId="2C8BFC96" w14:textId="77777777" w:rsidR="007866D3" w:rsidRDefault="007866D3" w:rsidP="007866D3">
      <w:pPr>
        <w:pStyle w:val="Bollo"/>
        <w:widowControl w:val="0"/>
        <w:spacing w:line="240" w:lineRule="auto"/>
        <w:ind w:firstLine="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Comunicazione </w:t>
      </w:r>
      <w:r>
        <w:rPr>
          <w:rFonts w:ascii="Garamond" w:hAnsi="Garamond"/>
          <w:b/>
          <w:i/>
          <w:sz w:val="22"/>
          <w:szCs w:val="22"/>
        </w:rPr>
        <w:t>ex</w:t>
      </w:r>
      <w:r>
        <w:rPr>
          <w:rFonts w:ascii="Garamond" w:hAnsi="Garamond"/>
          <w:b/>
          <w:sz w:val="22"/>
          <w:szCs w:val="22"/>
        </w:rPr>
        <w:t xml:space="preserve"> art. 4, comma 3, d.lgs n. 28/2010 </w:t>
      </w:r>
    </w:p>
    <w:p w14:paraId="1165E0C9" w14:textId="77777777" w:rsidR="007866D3" w:rsidRDefault="007866D3" w:rsidP="007866D3">
      <w:pPr>
        <w:pStyle w:val="Bollo"/>
        <w:widowControl w:val="0"/>
        <w:spacing w:line="240" w:lineRule="auto"/>
        <w:ind w:firstLine="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 art. 2, l. 162/2014</w:t>
      </w:r>
    </w:p>
    <w:p w14:paraId="0C6D2DC7" w14:textId="77777777" w:rsidR="007866D3" w:rsidRDefault="007866D3" w:rsidP="007866D3">
      <w:pPr>
        <w:pStyle w:val="Bollo"/>
        <w:widowControl w:val="0"/>
        <w:spacing w:line="240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   *   *</w:t>
      </w:r>
    </w:p>
    <w:p w14:paraId="5381EBF5" w14:textId="77777777" w:rsidR="007866D3" w:rsidRDefault="007866D3" w:rsidP="007866D3">
      <w:pPr>
        <w:spacing w:line="240" w:lineRule="auto"/>
        <w:ind w:right="-1" w:firstLine="284"/>
        <w:contextualSpacing/>
        <w:rPr>
          <w:sz w:val="22"/>
        </w:rPr>
      </w:pPr>
      <w:r>
        <w:rPr>
          <w:sz w:val="22"/>
        </w:rPr>
        <w:t xml:space="preserve">Il sottoscritto </w:t>
      </w:r>
      <w:r>
        <w:rPr>
          <w:b/>
          <w:sz w:val="22"/>
        </w:rPr>
        <w:t>__________</w:t>
      </w:r>
      <w:r>
        <w:rPr>
          <w:sz w:val="22"/>
        </w:rPr>
        <w:t xml:space="preserve"> (d’ora innanzi </w:t>
      </w:r>
      <w:r>
        <w:rPr>
          <w:b/>
          <w:sz w:val="22"/>
        </w:rPr>
        <w:t>cliente</w:t>
      </w:r>
      <w:r>
        <w:rPr>
          <w:sz w:val="22"/>
        </w:rPr>
        <w:t xml:space="preserve">), con sede in </w:t>
      </w:r>
      <w:r>
        <w:rPr>
          <w:rFonts w:cs="Garamond"/>
          <w:sz w:val="22"/>
        </w:rPr>
        <w:t>_____________</w:t>
      </w:r>
      <w:r>
        <w:rPr>
          <w:sz w:val="22"/>
        </w:rPr>
        <w:t xml:space="preserve">, </w:t>
      </w:r>
    </w:p>
    <w:p w14:paraId="3A45E67A" w14:textId="77777777" w:rsidR="007866D3" w:rsidRDefault="007866D3" w:rsidP="007866D3">
      <w:pPr>
        <w:pStyle w:val="Bollo"/>
        <w:widowControl w:val="0"/>
        <w:spacing w:line="240" w:lineRule="auto"/>
        <w:ind w:firstLine="0"/>
        <w:rPr>
          <w:rFonts w:ascii="Garamond" w:hAnsi="Garamond"/>
          <w:sz w:val="22"/>
          <w:szCs w:val="22"/>
        </w:rPr>
      </w:pPr>
    </w:p>
    <w:p w14:paraId="26A7B34F" w14:textId="3D7445F7" w:rsidR="007866D3" w:rsidRDefault="007866D3" w:rsidP="007866D3">
      <w:pPr>
        <w:pStyle w:val="Bollo"/>
        <w:widowControl w:val="0"/>
        <w:spacing w:line="240" w:lineRule="auto"/>
        <w:ind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dichiara di aver ricevuto prima del conferimento dell’incarico, in modo esauriente e completo, l’informativa che segue dal</w:t>
      </w:r>
      <w:r w:rsidR="002C5EF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avvocato ________</w:t>
      </w:r>
      <w:r>
        <w:rPr>
          <w:rFonts w:ascii="Garamond" w:hAnsi="Garamond"/>
          <w:sz w:val="22"/>
          <w:szCs w:val="22"/>
        </w:rPr>
        <w:t xml:space="preserve"> (c.f. </w:t>
      </w:r>
      <w:r>
        <w:rPr>
          <w:rFonts w:ascii="Garamond" w:hAnsi="Garamond" w:cs="Garamond"/>
          <w:sz w:val="22"/>
          <w:szCs w:val="22"/>
        </w:rPr>
        <w:t>_______________</w:t>
      </w:r>
      <w:r>
        <w:rPr>
          <w:rFonts w:ascii="Garamond" w:hAnsi="Garamond"/>
          <w:sz w:val="22"/>
          <w:szCs w:val="22"/>
        </w:rPr>
        <w:t>), del foro di Foggia:</w:t>
      </w:r>
    </w:p>
    <w:p w14:paraId="0A96A123" w14:textId="77777777" w:rsidR="007866D3" w:rsidRDefault="007866D3" w:rsidP="007866D3">
      <w:pPr>
        <w:pStyle w:val="Bollo"/>
        <w:widowControl w:val="0"/>
        <w:spacing w:line="240" w:lineRule="auto"/>
        <w:ind w:firstLine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in adempimento a quanto previsto dall’art. 4, comma 3°, del d. lgs n° 28 del 4.3.2010, ed in relazione alle pratiche curate dal sottoscritto per conto del destinatario, rende nota:</w:t>
      </w:r>
    </w:p>
    <w:p w14:paraId="4FB08179" w14:textId="77777777" w:rsidR="007866D3" w:rsidRDefault="007866D3" w:rsidP="007866D3">
      <w:pPr>
        <w:pStyle w:val="Bollo"/>
        <w:widowControl w:val="0"/>
        <w:spacing w:line="240" w:lineRule="auto"/>
        <w:ind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1)</w:t>
      </w:r>
      <w:r>
        <w:rPr>
          <w:rFonts w:ascii="Garamond" w:hAnsi="Garamond"/>
          <w:sz w:val="22"/>
          <w:szCs w:val="22"/>
        </w:rPr>
        <w:t xml:space="preserve"> la facoltà di esperire il </w:t>
      </w:r>
      <w:r>
        <w:rPr>
          <w:rFonts w:ascii="Garamond" w:hAnsi="Garamond"/>
          <w:b/>
          <w:sz w:val="22"/>
          <w:szCs w:val="22"/>
        </w:rPr>
        <w:t>procedimento di mediazione previsto dal d. lgs n° 28/2010</w:t>
      </w:r>
      <w:r>
        <w:rPr>
          <w:rFonts w:ascii="Garamond" w:hAnsi="Garamond"/>
          <w:sz w:val="22"/>
          <w:szCs w:val="22"/>
        </w:rPr>
        <w:t xml:space="preserve"> per il tentativo di risoluzione stragiudiziale della controversia insorta tra il cliente e controparte ______, avente ad oggetto </w:t>
      </w:r>
      <w:r>
        <w:rPr>
          <w:rFonts w:ascii="Garamond" w:hAnsi="Garamond" w:cs="Garamond"/>
          <w:bCs/>
          <w:sz w:val="22"/>
          <w:szCs w:val="22"/>
        </w:rPr>
        <w:t>_______________</w:t>
      </w:r>
      <w:r>
        <w:rPr>
          <w:rFonts w:ascii="Garamond" w:hAnsi="Garamond"/>
          <w:sz w:val="22"/>
          <w:szCs w:val="22"/>
        </w:rPr>
        <w:t xml:space="preserve">, con avvertimento che la preventiva utilizzazione del procedimento di mediazione previsto dalla indicata disposizione legislativa (ovvero, per le materie ivi indicate, i procedimenti previsti dal d. lgs n.179/2007 o dall’art. 128 </w:t>
      </w:r>
      <w:r>
        <w:rPr>
          <w:rFonts w:ascii="Garamond" w:hAnsi="Garamond"/>
          <w:i/>
          <w:sz w:val="22"/>
          <w:szCs w:val="22"/>
        </w:rPr>
        <w:t>bis</w:t>
      </w:r>
      <w:r>
        <w:rPr>
          <w:rFonts w:ascii="Garamond" w:hAnsi="Garamond"/>
          <w:sz w:val="22"/>
          <w:szCs w:val="22"/>
        </w:rPr>
        <w:t xml:space="preserve"> del d. lgs 385/1993 e successive modificazioni) costituisce condizione di procedibilità del giudizio nel caso che la controversia sopra descritta sia relativa ai diritti previsti dalla legge (quali i diritti disponibili in materia di condominio, diritti reali, divisione, successioni ereditarie, patti di famiglia, locazione, comodato, affitto di aziende, risarcimento del danno derivante: dalla circolazione di veicoli e natanti, dalla responsabilità medica e dalla diffamazione con il mezzo della stampa o con il mezzo della pubblicità; contratti assicurativi, bancari e finanziari);</w:t>
      </w:r>
    </w:p>
    <w:p w14:paraId="4163DCEB" w14:textId="77777777" w:rsidR="007866D3" w:rsidRDefault="007866D3" w:rsidP="007866D3">
      <w:pPr>
        <w:pStyle w:val="Bollo"/>
        <w:widowControl w:val="0"/>
        <w:spacing w:line="240" w:lineRule="auto"/>
        <w:ind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2)</w:t>
      </w:r>
      <w:r>
        <w:rPr>
          <w:rFonts w:ascii="Garamond" w:hAnsi="Garamond"/>
          <w:sz w:val="22"/>
          <w:szCs w:val="22"/>
        </w:rPr>
        <w:t xml:space="preserve"> la possibilità, qualora ne ricorrano le condizioni, di avvalersi del </w:t>
      </w:r>
      <w:r>
        <w:rPr>
          <w:rFonts w:ascii="Garamond" w:hAnsi="Garamond"/>
          <w:b/>
          <w:sz w:val="22"/>
          <w:szCs w:val="22"/>
        </w:rPr>
        <w:t>gratuito patrocinio</w:t>
      </w:r>
      <w:r>
        <w:rPr>
          <w:rFonts w:ascii="Garamond" w:hAnsi="Garamond"/>
          <w:sz w:val="22"/>
          <w:szCs w:val="22"/>
        </w:rPr>
        <w:t xml:space="preserve"> a spese dello Stato per la gestione del procedimento;</w:t>
      </w:r>
    </w:p>
    <w:p w14:paraId="2F1EF4AB" w14:textId="77777777" w:rsidR="007866D3" w:rsidRDefault="007866D3" w:rsidP="007866D3">
      <w:pPr>
        <w:pStyle w:val="Bollo"/>
        <w:widowControl w:val="0"/>
        <w:spacing w:line="240" w:lineRule="auto"/>
        <w:ind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3)</w:t>
      </w:r>
      <w:r>
        <w:rPr>
          <w:rFonts w:ascii="Garamond" w:hAnsi="Garamond"/>
          <w:sz w:val="22"/>
          <w:szCs w:val="22"/>
        </w:rPr>
        <w:t xml:space="preserve"> i </w:t>
      </w:r>
      <w:r>
        <w:rPr>
          <w:rFonts w:ascii="Garamond" w:hAnsi="Garamond"/>
          <w:b/>
          <w:sz w:val="22"/>
          <w:szCs w:val="22"/>
        </w:rPr>
        <w:t xml:space="preserve">benefici fiscali </w:t>
      </w:r>
      <w:r>
        <w:rPr>
          <w:rFonts w:ascii="Garamond" w:hAnsi="Garamond"/>
          <w:sz w:val="22"/>
          <w:szCs w:val="22"/>
        </w:rPr>
        <w:t>connessi all’utilizzo della procedura e particolarmente:</w:t>
      </w:r>
    </w:p>
    <w:p w14:paraId="519D2108" w14:textId="77777777" w:rsidR="007866D3" w:rsidRDefault="007866D3" w:rsidP="007866D3">
      <w:pPr>
        <w:pStyle w:val="Bollo"/>
        <w:widowControl w:val="0"/>
        <w:spacing w:line="240" w:lineRule="auto"/>
        <w:ind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a)</w:t>
      </w:r>
      <w:r>
        <w:rPr>
          <w:rFonts w:ascii="Garamond" w:hAnsi="Garamond"/>
          <w:sz w:val="22"/>
          <w:szCs w:val="22"/>
        </w:rPr>
        <w:t xml:space="preserve"> alle parti che corrispondono l’indennità ai soggetti abilitati a svolgere il procedimento di mediazione è riconosciuto un credito d’imposta, commisurato all’indennità corrisposta all’Organismo di mediazione fino alla concorrenza di 500,00 euro, in caso di successo; credito ridotto della metà in caso di insuccesso (art. 20 d. lgs n° 28/2010);</w:t>
      </w:r>
    </w:p>
    <w:p w14:paraId="140912BD" w14:textId="77777777" w:rsidR="007866D3" w:rsidRDefault="007866D3" w:rsidP="007866D3">
      <w:pPr>
        <w:pStyle w:val="Bollo"/>
        <w:widowControl w:val="0"/>
        <w:spacing w:line="240" w:lineRule="auto"/>
        <w:ind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b)</w:t>
      </w:r>
      <w:r>
        <w:rPr>
          <w:rFonts w:ascii="Garamond" w:hAnsi="Garamond"/>
          <w:sz w:val="22"/>
          <w:szCs w:val="22"/>
        </w:rPr>
        <w:t xml:space="preserve"> tutti gli atti, i documenti e i provvedimenti relativi al procedimento di mediazione sono esenti dall’imposta di bollo e da ogni spesa, tassa o diritto di qualsiasi specie e natura (art. 17 d. lgs. n° 28/2010);</w:t>
      </w:r>
    </w:p>
    <w:p w14:paraId="3B20A68A" w14:textId="77777777" w:rsidR="007866D3" w:rsidRDefault="007866D3" w:rsidP="007866D3">
      <w:pPr>
        <w:pStyle w:val="Bollo"/>
        <w:widowControl w:val="0"/>
        <w:spacing w:line="240" w:lineRule="auto"/>
        <w:ind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c)</w:t>
      </w:r>
      <w:r>
        <w:rPr>
          <w:rFonts w:ascii="Garamond" w:hAnsi="Garamond"/>
          <w:sz w:val="22"/>
          <w:szCs w:val="22"/>
        </w:rPr>
        <w:t xml:space="preserve"> il verbale di accordo è esente dall’imposta di registro entro il limite di valore di 50.000,00 euro; altrimenti l’imposta è dovuta per la parte eccedente (art. 17 d. lgs. n° 28/2010).</w:t>
      </w:r>
    </w:p>
    <w:p w14:paraId="6EA1D9B7" w14:textId="77777777" w:rsidR="007866D3" w:rsidRDefault="007866D3" w:rsidP="007866D3">
      <w:pPr>
        <w:pStyle w:val="Bollo"/>
        <w:widowControl w:val="0"/>
        <w:spacing w:line="240" w:lineRule="auto"/>
        <w:ind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4)</w:t>
      </w:r>
      <w:r>
        <w:rPr>
          <w:rFonts w:ascii="Garamond" w:hAnsi="Garamond"/>
          <w:sz w:val="22"/>
          <w:szCs w:val="22"/>
        </w:rPr>
        <w:t xml:space="preserve"> della possibilità/obbligo di ricorrere alla </w:t>
      </w:r>
      <w:r>
        <w:rPr>
          <w:rFonts w:ascii="Garamond" w:hAnsi="Garamond"/>
          <w:b/>
          <w:sz w:val="22"/>
          <w:szCs w:val="22"/>
        </w:rPr>
        <w:t>convenzione di negoziazione assistita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i/>
          <w:sz w:val="22"/>
          <w:szCs w:val="22"/>
        </w:rPr>
        <w:t>ex</w:t>
      </w:r>
      <w:r>
        <w:rPr>
          <w:rFonts w:ascii="Garamond" w:hAnsi="Garamond"/>
          <w:b/>
          <w:sz w:val="22"/>
          <w:szCs w:val="22"/>
        </w:rPr>
        <w:t xml:space="preserve"> l. n. 162/2014</w:t>
      </w:r>
      <w:r>
        <w:rPr>
          <w:rFonts w:ascii="Garamond" w:hAnsi="Garamond"/>
          <w:sz w:val="22"/>
          <w:szCs w:val="22"/>
        </w:rPr>
        <w:t>.</w:t>
      </w:r>
    </w:p>
    <w:p w14:paraId="522A3CA9" w14:textId="6A3A4514" w:rsidR="007866D3" w:rsidRDefault="0037591E" w:rsidP="007866D3">
      <w:pPr>
        <w:pStyle w:val="Bollo"/>
        <w:widowControl w:val="0"/>
        <w:spacing w:line="240" w:lineRule="auto"/>
        <w:ind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Foggia</w:t>
      </w:r>
      <w:r w:rsidR="007866D3">
        <w:rPr>
          <w:rFonts w:ascii="Garamond" w:hAnsi="Garamond"/>
          <w:sz w:val="22"/>
          <w:szCs w:val="22"/>
        </w:rPr>
        <w:t xml:space="preserve">, </w:t>
      </w:r>
      <w:r w:rsidR="007866D3">
        <w:rPr>
          <w:rFonts w:ascii="Garamond" w:hAnsi="Garamond" w:cs="Garamond"/>
          <w:sz w:val="22"/>
          <w:szCs w:val="22"/>
        </w:rPr>
        <w:t>________________</w:t>
      </w:r>
      <w:r w:rsidR="007866D3">
        <w:rPr>
          <w:rFonts w:ascii="Garamond" w:hAnsi="Garamond"/>
          <w:sz w:val="22"/>
          <w:szCs w:val="22"/>
        </w:rPr>
        <w:t>.</w:t>
      </w:r>
    </w:p>
    <w:p w14:paraId="396610E9" w14:textId="77777777" w:rsidR="007866D3" w:rsidRDefault="007866D3" w:rsidP="007866D3">
      <w:pPr>
        <w:pStyle w:val="Bollo"/>
        <w:widowControl w:val="0"/>
        <w:spacing w:line="240" w:lineRule="auto"/>
        <w:ind w:firstLine="0"/>
        <w:rPr>
          <w:rFonts w:ascii="Garamond" w:hAnsi="Garamond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99BDF" wp14:editId="1B5D9FB1">
                <wp:simplePos x="0" y="0"/>
                <wp:positionH relativeFrom="column">
                  <wp:posOffset>-104140</wp:posOffset>
                </wp:positionH>
                <wp:positionV relativeFrom="paragraph">
                  <wp:posOffset>74930</wp:posOffset>
                </wp:positionV>
                <wp:extent cx="2686050" cy="628650"/>
                <wp:effectExtent l="10160" t="8255" r="8890" b="2984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E3D8BE" w14:textId="77777777" w:rsidR="007866D3" w:rsidRDefault="007866D3" w:rsidP="007866D3"/>
                          <w:p w14:paraId="09FEE577" w14:textId="77777777" w:rsidR="007866D3" w:rsidRDefault="007866D3" w:rsidP="007866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99BD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8.2pt;margin-top:5.9pt;width:211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52E3D8BE" w14:textId="77777777" w:rsidR="007866D3" w:rsidRDefault="007866D3" w:rsidP="007866D3"/>
                    <w:p w14:paraId="09FEE577" w14:textId="77777777" w:rsidR="007866D3" w:rsidRDefault="007866D3" w:rsidP="007866D3"/>
                  </w:txbxContent>
                </v:textbox>
              </v:shape>
            </w:pict>
          </mc:Fallback>
        </mc:AlternateContent>
      </w:r>
    </w:p>
    <w:p w14:paraId="1BA39B9B" w14:textId="77777777" w:rsidR="007866D3" w:rsidRDefault="007866D3" w:rsidP="007866D3">
      <w:pPr>
        <w:spacing w:line="240" w:lineRule="auto"/>
        <w:ind w:right="-1" w:firstLine="284"/>
        <w:contextualSpacing/>
        <w:rPr>
          <w:sz w:val="22"/>
        </w:rPr>
      </w:pPr>
    </w:p>
    <w:p w14:paraId="6E953E6E" w14:textId="77777777" w:rsidR="007866D3" w:rsidRDefault="007866D3" w:rsidP="007866D3">
      <w:pPr>
        <w:spacing w:line="240" w:lineRule="auto"/>
        <w:ind w:right="-1" w:firstLine="284"/>
        <w:contextualSpacing/>
        <w:rPr>
          <w:sz w:val="22"/>
        </w:rPr>
      </w:pPr>
    </w:p>
    <w:p w14:paraId="6E88F9D8" w14:textId="77777777" w:rsidR="007866D3" w:rsidRDefault="007866D3" w:rsidP="007866D3">
      <w:pPr>
        <w:spacing w:line="240" w:lineRule="auto"/>
        <w:ind w:right="-1" w:firstLine="284"/>
        <w:contextualSpacing/>
        <w:rPr>
          <w:sz w:val="22"/>
        </w:rPr>
      </w:pPr>
    </w:p>
    <w:p w14:paraId="17E5C54A" w14:textId="77777777" w:rsidR="007866D3" w:rsidRDefault="007866D3" w:rsidP="007866D3">
      <w:pPr>
        <w:spacing w:line="240" w:lineRule="auto"/>
        <w:ind w:right="-1" w:firstLine="284"/>
        <w:contextualSpacing/>
        <w:rPr>
          <w:sz w:val="22"/>
        </w:rPr>
      </w:pPr>
      <w:r>
        <w:rPr>
          <w:sz w:val="22"/>
        </w:rPr>
        <w:t>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</w:t>
      </w:r>
    </w:p>
    <w:p w14:paraId="64CE580F" w14:textId="77777777" w:rsidR="007866D3" w:rsidRDefault="007866D3" w:rsidP="007866D3">
      <w:pPr>
        <w:spacing w:line="240" w:lineRule="auto"/>
        <w:ind w:right="-1" w:firstLine="284"/>
        <w:contextualSpacing/>
        <w:rPr>
          <w:sz w:val="22"/>
        </w:rPr>
      </w:pPr>
      <w:r>
        <w:rPr>
          <w:i/>
          <w:sz w:val="22"/>
        </w:rPr>
        <w:t xml:space="preserve">(firma cliente)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(firma professionista)</w:t>
      </w:r>
    </w:p>
    <w:p w14:paraId="5B152FC8" w14:textId="77777777" w:rsidR="000210AC" w:rsidRDefault="000210AC">
      <w:pPr>
        <w:spacing w:after="200" w:line="276" w:lineRule="auto"/>
        <w:ind w:firstLine="0"/>
        <w:jc w:val="left"/>
      </w:pPr>
      <w:r>
        <w:br w:type="page"/>
      </w:r>
    </w:p>
    <w:p w14:paraId="56D700EB" w14:textId="77777777" w:rsidR="00AB0EB0" w:rsidRDefault="00AB0EB0" w:rsidP="00AB0EB0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8"/>
        <w:gridCol w:w="3000"/>
      </w:tblGrid>
      <w:tr w:rsidR="00AB0EB0" w:rsidRPr="00942257" w14:paraId="3E72994B" w14:textId="77777777" w:rsidTr="008271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B1B7A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OGGETTO DELLA CONTROVERSIA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9E493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PROCEDURA</w:t>
            </w:r>
          </w:p>
        </w:tc>
      </w:tr>
      <w:tr w:rsidR="00AB0EB0" w:rsidRPr="00942257" w14:paraId="27EC5A2E" w14:textId="77777777" w:rsidTr="008271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4D6FAD6F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Affitto di aziende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505D5756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Mediazione</w:t>
            </w:r>
          </w:p>
        </w:tc>
      </w:tr>
      <w:tr w:rsidR="00AB0EB0" w:rsidRPr="00942257" w14:paraId="344321B0" w14:textId="77777777" w:rsidTr="008271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314C6BAE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Autotrasporto o sub-trasporto (contratti)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5BCBCB4D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Negoziazione assistita</w:t>
            </w:r>
          </w:p>
        </w:tc>
      </w:tr>
      <w:tr w:rsidR="00AB0EB0" w:rsidRPr="00942257" w14:paraId="0EA6B6A0" w14:textId="77777777" w:rsidTr="008271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0E70392D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Comodato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024E3DD5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Mediazione</w:t>
            </w:r>
          </w:p>
        </w:tc>
      </w:tr>
      <w:tr w:rsidR="00AB0EB0" w:rsidRPr="00942257" w14:paraId="75F5A489" w14:textId="77777777" w:rsidTr="008271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2CB8CBFB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Condominio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48761AF9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Mediazione</w:t>
            </w:r>
          </w:p>
        </w:tc>
      </w:tr>
      <w:tr w:rsidR="00AB0EB0" w:rsidRPr="00942257" w14:paraId="53831F76" w14:textId="77777777" w:rsidTr="008271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6BB6130E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Contratti assicurativi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4305E085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Mediazione</w:t>
            </w:r>
          </w:p>
        </w:tc>
      </w:tr>
      <w:tr w:rsidR="00AB0EB0" w:rsidRPr="00942257" w14:paraId="697FECDC" w14:textId="77777777" w:rsidTr="008271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685AE734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Contratti bancari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0264A0F8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Mediazione</w:t>
            </w:r>
          </w:p>
        </w:tc>
      </w:tr>
      <w:tr w:rsidR="00AB0EB0" w:rsidRPr="00942257" w14:paraId="5F15DA9B" w14:textId="77777777" w:rsidTr="008271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6BAE988D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Contratti finanziari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241F47E5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Mediazione</w:t>
            </w:r>
          </w:p>
        </w:tc>
      </w:tr>
      <w:tr w:rsidR="00AB0EB0" w:rsidRPr="00942257" w14:paraId="4B4E9F8B" w14:textId="77777777" w:rsidTr="008271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647051E9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Diritti reali (proprietà, usufrutto, abitazione, ecc.)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44033D2C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Mediazione</w:t>
            </w:r>
          </w:p>
        </w:tc>
      </w:tr>
      <w:tr w:rsidR="00AB0EB0" w:rsidRPr="00942257" w14:paraId="075BD680" w14:textId="77777777" w:rsidTr="008271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224B7A2E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Divisione di beni in comunione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449AF2A7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Mediazione</w:t>
            </w:r>
          </w:p>
        </w:tc>
      </w:tr>
      <w:tr w:rsidR="00AB0EB0" w:rsidRPr="00942257" w14:paraId="4205E095" w14:textId="77777777" w:rsidTr="008271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69409A34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Domanda di pagamento a qualsiasi titolo, per somme fino a 50mila euro, salvo rientri in una delle materie per cui è prevista la mediazione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6E68B573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Negoziazione assistita</w:t>
            </w:r>
          </w:p>
        </w:tc>
      </w:tr>
      <w:tr w:rsidR="00AB0EB0" w:rsidRPr="00942257" w14:paraId="32D587CE" w14:textId="77777777" w:rsidTr="008271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76858BDE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Locazione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7C53B862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Mediazione</w:t>
            </w:r>
          </w:p>
        </w:tc>
      </w:tr>
      <w:tr w:rsidR="00AB0EB0" w:rsidRPr="00942257" w14:paraId="2B823C84" w14:textId="77777777" w:rsidTr="008271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44C7BB95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Patti di famiglia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3D74237D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Mediazione</w:t>
            </w:r>
          </w:p>
        </w:tc>
      </w:tr>
      <w:tr w:rsidR="00AB0EB0" w:rsidRPr="00942257" w14:paraId="1F70EE46" w14:textId="77777777" w:rsidTr="008271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3E586015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Risarcimento danno per diffamazione a mezzo stampa o altro mezzo di pubblicità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5F6ACE15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Mediazione</w:t>
            </w:r>
          </w:p>
        </w:tc>
      </w:tr>
      <w:tr w:rsidR="00AB0EB0" w:rsidRPr="00942257" w14:paraId="6FBADA0F" w14:textId="77777777" w:rsidTr="008271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4A71A375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Risarcimento danno per responsabilità medica e sanitaria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0498A9E8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Mediazione</w:t>
            </w:r>
          </w:p>
        </w:tc>
      </w:tr>
      <w:tr w:rsidR="00AB0EB0" w:rsidRPr="00942257" w14:paraId="167B93E9" w14:textId="77777777" w:rsidTr="008271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6E4C54CD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Risarcimento danno per sinistri stradali e da circolazione di natanti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015E3749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Negoziazione assistita</w:t>
            </w:r>
          </w:p>
        </w:tc>
      </w:tr>
      <w:tr w:rsidR="00AB0EB0" w:rsidRPr="00942257" w14:paraId="74966CB7" w14:textId="77777777" w:rsidTr="008271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1DE60174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Successioni ereditarie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1BD279C6" w14:textId="77777777" w:rsidR="00AB0EB0" w:rsidRPr="00942257" w:rsidRDefault="00AB0EB0" w:rsidP="0082712E">
            <w:pPr>
              <w:spacing w:line="33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94225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it-IT"/>
              </w:rPr>
              <w:t>Mediazione</w:t>
            </w:r>
          </w:p>
        </w:tc>
      </w:tr>
    </w:tbl>
    <w:p w14:paraId="49D5B17D" w14:textId="77777777" w:rsidR="00AB0EB0" w:rsidRDefault="00AB0EB0" w:rsidP="00AB0EB0"/>
    <w:p w14:paraId="2606D42A" w14:textId="77777777" w:rsidR="00AB0EB0" w:rsidRDefault="00AB0EB0" w:rsidP="00AB0EB0"/>
    <w:p w14:paraId="6F061B3C" w14:textId="77777777" w:rsidR="00AB0EB0" w:rsidRDefault="00AB0EB0" w:rsidP="00AB0EB0"/>
    <w:p w14:paraId="584FADAE" w14:textId="77777777" w:rsidR="00AB0EB0" w:rsidRPr="00942257" w:rsidRDefault="00AB0EB0" w:rsidP="00AB0EB0">
      <w:pPr>
        <w:shd w:val="clear" w:color="auto" w:fill="FFFFFF"/>
        <w:spacing w:line="240" w:lineRule="auto"/>
        <w:jc w:val="center"/>
        <w:outlineLvl w:val="1"/>
        <w:rPr>
          <w:rFonts w:eastAsia="Times New Roman" w:cs="Arial"/>
          <w:b/>
          <w:bCs/>
          <w:color w:val="4C6A95"/>
          <w:sz w:val="28"/>
          <w:szCs w:val="28"/>
          <w:lang w:eastAsia="it-IT"/>
        </w:rPr>
      </w:pPr>
      <w:r w:rsidRPr="00942257">
        <w:rPr>
          <w:rFonts w:eastAsia="Times New Roman" w:cs="Arial"/>
          <w:b/>
          <w:bCs/>
          <w:color w:val="4C6A95"/>
          <w:sz w:val="28"/>
          <w:szCs w:val="28"/>
          <w:bdr w:val="none" w:sz="0" w:space="0" w:color="auto" w:frame="1"/>
          <w:lang w:eastAsia="it-IT"/>
        </w:rPr>
        <w:t>I procedimenti esenti nelle materie sottoposte a mediazione obbligatoria</w:t>
      </w:r>
    </w:p>
    <w:p w14:paraId="03C6C0CF" w14:textId="77777777" w:rsidR="00AB0EB0" w:rsidRPr="00942257" w:rsidRDefault="00AB0EB0" w:rsidP="00AB0EB0">
      <w:pPr>
        <w:shd w:val="clear" w:color="auto" w:fill="FFFFFF"/>
        <w:spacing w:after="390" w:line="240" w:lineRule="auto"/>
        <w:rPr>
          <w:rFonts w:eastAsia="Times New Roman" w:cs="Arial"/>
          <w:color w:val="333333"/>
          <w:sz w:val="28"/>
          <w:szCs w:val="28"/>
          <w:lang w:eastAsia="it-IT"/>
        </w:rPr>
      </w:pP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– nei procedimenti per</w:t>
      </w:r>
      <w:r w:rsidR="002B04FC">
        <w:rPr>
          <w:rFonts w:eastAsia="Times New Roman" w:cs="Arial"/>
          <w:color w:val="333333"/>
          <w:sz w:val="28"/>
          <w:szCs w:val="28"/>
          <w:lang w:eastAsia="it-IT"/>
        </w:rPr>
        <w:t xml:space="preserve"> </w:t>
      </w:r>
      <w:r w:rsidRPr="00942257">
        <w:rPr>
          <w:rFonts w:eastAsia="Times New Roman" w:cs="Arial"/>
          <w:b/>
          <w:bCs/>
          <w:color w:val="333333"/>
          <w:sz w:val="28"/>
          <w:szCs w:val="28"/>
          <w:lang w:eastAsia="it-IT"/>
        </w:rPr>
        <w:t>decreto ingiuntivo</w:t>
      </w: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. Per la fase di opposizione, l’esenzione vale solo fino alla pronuncia sulle istanze di concessione e sospensione della provvisoria esecuzione (da questo momento in avanti, quindi, se si tratta di una materia sottoposta a mediazione obbligatoria, il giudice dovrà invitare le parti</w:t>
      </w:r>
      <w:r w:rsidR="002B04FC">
        <w:rPr>
          <w:rFonts w:eastAsia="Times New Roman" w:cs="Arial"/>
          <w:color w:val="333333"/>
          <w:sz w:val="28"/>
          <w:szCs w:val="28"/>
          <w:lang w:eastAsia="it-IT"/>
        </w:rPr>
        <w:t xml:space="preserve"> </w:t>
      </w: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a effettuare il tentativo, nel termine minimo di tre mesi, prima dell’ulteriore prosecuzione del processo);</w:t>
      </w:r>
    </w:p>
    <w:p w14:paraId="7ADF7B72" w14:textId="77777777" w:rsidR="00AB0EB0" w:rsidRPr="00942257" w:rsidRDefault="00AB0EB0" w:rsidP="00AB0EB0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rPr>
          <w:rFonts w:eastAsia="Times New Roman" w:cs="Arial"/>
          <w:color w:val="333333"/>
          <w:sz w:val="28"/>
          <w:szCs w:val="28"/>
          <w:lang w:eastAsia="it-IT"/>
        </w:rPr>
      </w:pP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– nei procedimenti per</w:t>
      </w:r>
      <w:r w:rsidR="002B04FC">
        <w:rPr>
          <w:rFonts w:eastAsia="Times New Roman" w:cs="Arial"/>
          <w:color w:val="333333"/>
          <w:sz w:val="28"/>
          <w:szCs w:val="28"/>
          <w:lang w:eastAsia="it-IT"/>
        </w:rPr>
        <w:t xml:space="preserve"> </w:t>
      </w:r>
      <w:r w:rsidRPr="00942257">
        <w:rPr>
          <w:rFonts w:eastAsia="Times New Roman" w:cs="Arial"/>
          <w:b/>
          <w:bCs/>
          <w:color w:val="333333"/>
          <w:sz w:val="28"/>
          <w:szCs w:val="28"/>
          <w:lang w:eastAsia="it-IT"/>
        </w:rPr>
        <w:t>conva</w:t>
      </w:r>
      <w:r w:rsidR="002B04FC">
        <w:rPr>
          <w:rFonts w:eastAsia="Times New Roman" w:cs="Arial"/>
          <w:b/>
          <w:bCs/>
          <w:color w:val="333333"/>
          <w:sz w:val="28"/>
          <w:szCs w:val="28"/>
          <w:lang w:eastAsia="it-IT"/>
        </w:rPr>
        <w:t>lida di licenza o di sfratto</w:t>
      </w: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;</w:t>
      </w:r>
    </w:p>
    <w:p w14:paraId="6A8FB1BB" w14:textId="77777777" w:rsidR="00AB0EB0" w:rsidRPr="00942257" w:rsidRDefault="00AB0EB0" w:rsidP="00AB0EB0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rPr>
          <w:rFonts w:eastAsia="Times New Roman" w:cs="Arial"/>
          <w:color w:val="333333"/>
          <w:sz w:val="28"/>
          <w:szCs w:val="28"/>
          <w:lang w:eastAsia="it-IT"/>
        </w:rPr>
      </w:pP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– nei</w:t>
      </w:r>
      <w:r w:rsidR="002B04FC">
        <w:rPr>
          <w:rFonts w:eastAsia="Times New Roman" w:cs="Arial"/>
          <w:color w:val="333333"/>
          <w:sz w:val="28"/>
          <w:szCs w:val="28"/>
          <w:lang w:eastAsia="it-IT"/>
        </w:rPr>
        <w:t xml:space="preserve"> </w:t>
      </w:r>
      <w:r w:rsidR="002B04FC">
        <w:rPr>
          <w:rFonts w:eastAsia="Times New Roman" w:cs="Arial"/>
          <w:b/>
          <w:bCs/>
          <w:color w:val="333333"/>
          <w:sz w:val="28"/>
          <w:szCs w:val="28"/>
          <w:lang w:eastAsia="it-IT"/>
        </w:rPr>
        <w:t>procedimenti possessori</w:t>
      </w: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;</w:t>
      </w:r>
    </w:p>
    <w:p w14:paraId="25A253BD" w14:textId="77777777" w:rsidR="00AB0EB0" w:rsidRPr="00942257" w:rsidRDefault="00AB0EB0" w:rsidP="00AB0EB0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rPr>
          <w:rFonts w:eastAsia="Times New Roman" w:cs="Arial"/>
          <w:color w:val="333333"/>
          <w:sz w:val="28"/>
          <w:szCs w:val="28"/>
          <w:lang w:eastAsia="it-IT"/>
        </w:rPr>
      </w:pPr>
      <w:r w:rsidRPr="00942257">
        <w:rPr>
          <w:rFonts w:eastAsia="Times New Roman" w:cs="Arial"/>
          <w:color w:val="333333"/>
          <w:sz w:val="28"/>
          <w:szCs w:val="28"/>
          <w:lang w:eastAsia="it-IT"/>
        </w:rPr>
        <w:lastRenderedPageBreak/>
        <w:t>– nei procedimenti di opposizione o incidentali di cognizione relativi all’</w:t>
      </w:r>
      <w:r w:rsidRPr="00942257">
        <w:rPr>
          <w:rFonts w:eastAsia="Times New Roman" w:cs="Arial"/>
          <w:b/>
          <w:bCs/>
          <w:color w:val="333333"/>
          <w:sz w:val="28"/>
          <w:szCs w:val="28"/>
          <w:lang w:eastAsia="it-IT"/>
        </w:rPr>
        <w:t>esecuzione forzata</w:t>
      </w: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;</w:t>
      </w:r>
    </w:p>
    <w:p w14:paraId="5F73365A" w14:textId="77777777" w:rsidR="00AB0EB0" w:rsidRPr="00942257" w:rsidRDefault="00AB0EB0" w:rsidP="00AB0EB0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rPr>
          <w:rFonts w:eastAsia="Times New Roman" w:cs="Arial"/>
          <w:color w:val="333333"/>
          <w:sz w:val="28"/>
          <w:szCs w:val="28"/>
          <w:lang w:eastAsia="it-IT"/>
        </w:rPr>
      </w:pP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– nei procedimenti in</w:t>
      </w:r>
      <w:r w:rsidR="002B04FC">
        <w:rPr>
          <w:rFonts w:eastAsia="Times New Roman" w:cs="Arial"/>
          <w:color w:val="333333"/>
          <w:sz w:val="28"/>
          <w:szCs w:val="28"/>
          <w:lang w:eastAsia="it-IT"/>
        </w:rPr>
        <w:t xml:space="preserve"> </w:t>
      </w:r>
      <w:r w:rsidRPr="00942257">
        <w:rPr>
          <w:rFonts w:eastAsia="Times New Roman" w:cs="Arial"/>
          <w:b/>
          <w:bCs/>
          <w:color w:val="333333"/>
          <w:sz w:val="28"/>
          <w:szCs w:val="28"/>
          <w:lang w:eastAsia="it-IT"/>
        </w:rPr>
        <w:t>camera di consiglio</w:t>
      </w: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;</w:t>
      </w:r>
    </w:p>
    <w:p w14:paraId="61F8F97A" w14:textId="77777777" w:rsidR="00AB0EB0" w:rsidRPr="00942257" w:rsidRDefault="00AB0EB0" w:rsidP="00AB0EB0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rPr>
          <w:rFonts w:eastAsia="Times New Roman" w:cs="Arial"/>
          <w:color w:val="333333"/>
          <w:sz w:val="28"/>
          <w:szCs w:val="28"/>
          <w:lang w:eastAsia="it-IT"/>
        </w:rPr>
      </w:pP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– nell’</w:t>
      </w:r>
      <w:r w:rsidRPr="00942257">
        <w:rPr>
          <w:rFonts w:eastAsia="Times New Roman" w:cs="Arial"/>
          <w:b/>
          <w:bCs/>
          <w:color w:val="333333"/>
          <w:sz w:val="28"/>
          <w:szCs w:val="28"/>
          <w:lang w:eastAsia="it-IT"/>
        </w:rPr>
        <w:t>azione civile esercitata nel processo penale</w:t>
      </w: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.</w:t>
      </w:r>
    </w:p>
    <w:p w14:paraId="2787B4E8" w14:textId="77777777" w:rsidR="00AB0EB0" w:rsidRPr="00942257" w:rsidRDefault="00AB0EB0" w:rsidP="00AB0EB0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rPr>
          <w:rFonts w:eastAsia="Times New Roman" w:cs="Arial"/>
          <w:color w:val="333333"/>
          <w:sz w:val="28"/>
          <w:szCs w:val="28"/>
          <w:lang w:eastAsia="it-IT"/>
        </w:rPr>
      </w:pP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– nella</w:t>
      </w:r>
      <w:r w:rsidR="002B04FC">
        <w:rPr>
          <w:rFonts w:eastAsia="Times New Roman" w:cs="Arial"/>
          <w:color w:val="333333"/>
          <w:sz w:val="28"/>
          <w:szCs w:val="28"/>
          <w:lang w:eastAsia="it-IT"/>
        </w:rPr>
        <w:t xml:space="preserve"> </w:t>
      </w:r>
      <w:r w:rsidRPr="00942257">
        <w:rPr>
          <w:rFonts w:eastAsia="Times New Roman" w:cs="Arial"/>
          <w:b/>
          <w:bCs/>
          <w:color w:val="333333"/>
          <w:sz w:val="28"/>
          <w:szCs w:val="28"/>
          <w:lang w:eastAsia="it-IT"/>
        </w:rPr>
        <w:t>consulenza tecnica preventiva</w:t>
      </w: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 ai fini della composizione della lite.</w:t>
      </w:r>
    </w:p>
    <w:p w14:paraId="1C33FE3A" w14:textId="77777777" w:rsidR="00AB0EB0" w:rsidRPr="00942257" w:rsidRDefault="00AB0EB0" w:rsidP="00AB0EB0">
      <w:pPr>
        <w:shd w:val="clear" w:color="auto" w:fill="FFFFFF"/>
        <w:spacing w:line="240" w:lineRule="auto"/>
        <w:outlineLvl w:val="1"/>
        <w:rPr>
          <w:rFonts w:eastAsia="Times New Roman" w:cs="Arial"/>
          <w:b/>
          <w:bCs/>
          <w:color w:val="4C6A95"/>
          <w:sz w:val="28"/>
          <w:szCs w:val="28"/>
          <w:bdr w:val="none" w:sz="0" w:space="0" w:color="auto" w:frame="1"/>
          <w:lang w:eastAsia="it-IT"/>
        </w:rPr>
      </w:pPr>
    </w:p>
    <w:p w14:paraId="11ACB7A9" w14:textId="77777777" w:rsidR="00AB0EB0" w:rsidRDefault="00AB0EB0" w:rsidP="00AB0EB0">
      <w:pPr>
        <w:shd w:val="clear" w:color="auto" w:fill="FFFFFF"/>
        <w:spacing w:line="240" w:lineRule="auto"/>
        <w:outlineLvl w:val="1"/>
        <w:rPr>
          <w:rFonts w:eastAsia="Times New Roman" w:cs="Arial"/>
          <w:b/>
          <w:bCs/>
          <w:color w:val="4C6A95"/>
          <w:sz w:val="28"/>
          <w:szCs w:val="28"/>
          <w:bdr w:val="none" w:sz="0" w:space="0" w:color="auto" w:frame="1"/>
          <w:lang w:eastAsia="it-IT"/>
        </w:rPr>
      </w:pPr>
    </w:p>
    <w:p w14:paraId="2A0E97E7" w14:textId="77777777" w:rsidR="00AB0EB0" w:rsidRDefault="00AB0EB0" w:rsidP="00AB0EB0">
      <w:pPr>
        <w:shd w:val="clear" w:color="auto" w:fill="FFFFFF"/>
        <w:spacing w:line="240" w:lineRule="auto"/>
        <w:outlineLvl w:val="1"/>
        <w:rPr>
          <w:rFonts w:eastAsia="Times New Roman" w:cs="Arial"/>
          <w:b/>
          <w:bCs/>
          <w:color w:val="4C6A95"/>
          <w:sz w:val="28"/>
          <w:szCs w:val="28"/>
          <w:bdr w:val="none" w:sz="0" w:space="0" w:color="auto" w:frame="1"/>
          <w:lang w:eastAsia="it-IT"/>
        </w:rPr>
      </w:pPr>
    </w:p>
    <w:p w14:paraId="0CE633AA" w14:textId="77777777" w:rsidR="00AB0EB0" w:rsidRDefault="00AB0EB0" w:rsidP="00AB0EB0">
      <w:pPr>
        <w:shd w:val="clear" w:color="auto" w:fill="FFFFFF"/>
        <w:spacing w:line="240" w:lineRule="auto"/>
        <w:outlineLvl w:val="1"/>
        <w:rPr>
          <w:rFonts w:eastAsia="Times New Roman" w:cs="Arial"/>
          <w:b/>
          <w:bCs/>
          <w:color w:val="4C6A95"/>
          <w:sz w:val="28"/>
          <w:szCs w:val="28"/>
          <w:bdr w:val="none" w:sz="0" w:space="0" w:color="auto" w:frame="1"/>
          <w:lang w:eastAsia="it-IT"/>
        </w:rPr>
      </w:pPr>
    </w:p>
    <w:p w14:paraId="7658C3D1" w14:textId="77777777" w:rsidR="00AB0EB0" w:rsidRPr="00942257" w:rsidRDefault="00AB0EB0" w:rsidP="00AB0EB0">
      <w:pPr>
        <w:shd w:val="clear" w:color="auto" w:fill="FFFFFF"/>
        <w:spacing w:line="240" w:lineRule="auto"/>
        <w:outlineLvl w:val="1"/>
        <w:rPr>
          <w:rFonts w:eastAsia="Times New Roman" w:cs="Arial"/>
          <w:b/>
          <w:bCs/>
          <w:color w:val="4C6A95"/>
          <w:sz w:val="28"/>
          <w:szCs w:val="28"/>
          <w:bdr w:val="none" w:sz="0" w:space="0" w:color="auto" w:frame="1"/>
          <w:lang w:eastAsia="it-IT"/>
        </w:rPr>
      </w:pPr>
    </w:p>
    <w:p w14:paraId="465D1892" w14:textId="77777777" w:rsidR="00AB0EB0" w:rsidRPr="00942257" w:rsidRDefault="00AB0EB0" w:rsidP="00AB0EB0">
      <w:pPr>
        <w:shd w:val="clear" w:color="auto" w:fill="FFFFFF"/>
        <w:spacing w:line="240" w:lineRule="auto"/>
        <w:jc w:val="center"/>
        <w:outlineLvl w:val="1"/>
        <w:rPr>
          <w:rFonts w:eastAsia="Times New Roman" w:cs="Arial"/>
          <w:b/>
          <w:bCs/>
          <w:color w:val="4C6A95"/>
          <w:sz w:val="28"/>
          <w:szCs w:val="28"/>
          <w:lang w:eastAsia="it-IT"/>
        </w:rPr>
      </w:pPr>
      <w:r w:rsidRPr="00942257">
        <w:rPr>
          <w:rFonts w:eastAsia="Times New Roman" w:cs="Arial"/>
          <w:b/>
          <w:bCs/>
          <w:color w:val="4C6A95"/>
          <w:sz w:val="28"/>
          <w:szCs w:val="28"/>
          <w:bdr w:val="none" w:sz="0" w:space="0" w:color="auto" w:frame="1"/>
          <w:lang w:eastAsia="it-IT"/>
        </w:rPr>
        <w:t>I procedimenti esenti nelle materie sottoposte a negoziazione assistita</w:t>
      </w:r>
    </w:p>
    <w:p w14:paraId="7C846563" w14:textId="77777777" w:rsidR="00AB0EB0" w:rsidRPr="00942257" w:rsidRDefault="00AB0EB0" w:rsidP="00AB0EB0">
      <w:pPr>
        <w:shd w:val="clear" w:color="auto" w:fill="FFFFFF"/>
        <w:spacing w:after="390" w:line="240" w:lineRule="auto"/>
        <w:rPr>
          <w:rFonts w:eastAsia="Times New Roman" w:cs="Arial"/>
          <w:color w:val="333333"/>
          <w:sz w:val="28"/>
          <w:szCs w:val="28"/>
          <w:lang w:eastAsia="it-IT"/>
        </w:rPr>
      </w:pP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Per quanto attiene alle azioni per il recupero del credito, la negoziazione assistita non è obbligatoria se il creditore intende agire con </w:t>
      </w:r>
      <w:r w:rsidRPr="00942257">
        <w:rPr>
          <w:rFonts w:eastAsia="Times New Roman" w:cs="Arial"/>
          <w:b/>
          <w:bCs/>
          <w:color w:val="333333"/>
          <w:sz w:val="28"/>
          <w:szCs w:val="28"/>
          <w:lang w:eastAsia="it-IT"/>
        </w:rPr>
        <w:t>decreto ingiuntivo</w:t>
      </w: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.</w:t>
      </w:r>
    </w:p>
    <w:p w14:paraId="7E328AAF" w14:textId="77777777" w:rsidR="00AB0EB0" w:rsidRPr="00942257" w:rsidRDefault="00AB0EB0" w:rsidP="00AB0EB0">
      <w:pPr>
        <w:shd w:val="clear" w:color="auto" w:fill="FFFFFF"/>
        <w:spacing w:after="390" w:line="240" w:lineRule="auto"/>
        <w:rPr>
          <w:rFonts w:eastAsia="Times New Roman" w:cs="Arial"/>
          <w:color w:val="333333"/>
          <w:sz w:val="28"/>
          <w:szCs w:val="28"/>
          <w:lang w:eastAsia="it-IT"/>
        </w:rPr>
      </w:pP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Le nuove regole, poi, non si applicano:</w:t>
      </w:r>
    </w:p>
    <w:p w14:paraId="73FF685D" w14:textId="77777777" w:rsidR="00AB0EB0" w:rsidRPr="00942257" w:rsidRDefault="00AB0EB0" w:rsidP="00AB0EB0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rFonts w:eastAsia="Times New Roman" w:cs="Arial"/>
          <w:color w:val="333333"/>
          <w:sz w:val="28"/>
          <w:szCs w:val="28"/>
          <w:lang w:eastAsia="it-IT"/>
        </w:rPr>
      </w:pP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– nei procedimenti di</w:t>
      </w:r>
      <w:r w:rsidR="002B04FC">
        <w:rPr>
          <w:rFonts w:eastAsia="Times New Roman" w:cs="Arial"/>
          <w:color w:val="333333"/>
          <w:sz w:val="28"/>
          <w:szCs w:val="28"/>
          <w:lang w:eastAsia="it-IT"/>
        </w:rPr>
        <w:t xml:space="preserve"> </w:t>
      </w:r>
      <w:r w:rsidRPr="00942257">
        <w:rPr>
          <w:rFonts w:eastAsia="Times New Roman" w:cs="Arial"/>
          <w:b/>
          <w:bCs/>
          <w:color w:val="333333"/>
          <w:sz w:val="28"/>
          <w:szCs w:val="28"/>
          <w:lang w:eastAsia="it-IT"/>
        </w:rPr>
        <w:t>consulenza tecnica preventiva</w:t>
      </w: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 ai fini della composizione della lite;</w:t>
      </w:r>
    </w:p>
    <w:p w14:paraId="28539D51" w14:textId="77777777" w:rsidR="00AB0EB0" w:rsidRPr="00942257" w:rsidRDefault="00AB0EB0" w:rsidP="00AB0EB0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rFonts w:eastAsia="Times New Roman" w:cs="Arial"/>
          <w:color w:val="333333"/>
          <w:sz w:val="28"/>
          <w:szCs w:val="28"/>
          <w:lang w:eastAsia="it-IT"/>
        </w:rPr>
      </w:pP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– nei procedimenti di</w:t>
      </w:r>
      <w:r w:rsidR="002B04FC">
        <w:rPr>
          <w:rFonts w:eastAsia="Times New Roman" w:cs="Arial"/>
          <w:color w:val="333333"/>
          <w:sz w:val="28"/>
          <w:szCs w:val="28"/>
          <w:lang w:eastAsia="it-IT"/>
        </w:rPr>
        <w:t xml:space="preserve"> </w:t>
      </w:r>
      <w:r w:rsidRPr="00942257">
        <w:rPr>
          <w:rFonts w:eastAsia="Times New Roman" w:cs="Arial"/>
          <w:b/>
          <w:bCs/>
          <w:color w:val="333333"/>
          <w:sz w:val="28"/>
          <w:szCs w:val="28"/>
          <w:lang w:eastAsia="it-IT"/>
        </w:rPr>
        <w:t>opposizione o incidentali di cognizione relativi all’esecuzione forzata</w:t>
      </w: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;</w:t>
      </w:r>
    </w:p>
    <w:p w14:paraId="2AC6E4B3" w14:textId="77777777" w:rsidR="00AB0EB0" w:rsidRPr="00942257" w:rsidRDefault="00AB0EB0" w:rsidP="00AB0EB0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rFonts w:eastAsia="Times New Roman" w:cs="Arial"/>
          <w:color w:val="333333"/>
          <w:sz w:val="28"/>
          <w:szCs w:val="28"/>
          <w:lang w:eastAsia="it-IT"/>
        </w:rPr>
      </w:pP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– nei procedimenti in</w:t>
      </w:r>
      <w:r w:rsidR="002B04FC">
        <w:rPr>
          <w:rFonts w:eastAsia="Times New Roman" w:cs="Arial"/>
          <w:b/>
          <w:bCs/>
          <w:color w:val="333333"/>
          <w:sz w:val="28"/>
          <w:szCs w:val="28"/>
          <w:lang w:eastAsia="it-IT"/>
        </w:rPr>
        <w:t xml:space="preserve"> </w:t>
      </w:r>
      <w:r w:rsidRPr="00942257">
        <w:rPr>
          <w:rFonts w:eastAsia="Times New Roman" w:cs="Arial"/>
          <w:b/>
          <w:bCs/>
          <w:color w:val="333333"/>
          <w:sz w:val="28"/>
          <w:szCs w:val="28"/>
          <w:lang w:eastAsia="it-IT"/>
        </w:rPr>
        <w:t>camera di consiglio</w:t>
      </w: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;</w:t>
      </w:r>
    </w:p>
    <w:p w14:paraId="2B406A51" w14:textId="77777777" w:rsidR="00AB0EB0" w:rsidRPr="00942257" w:rsidRDefault="00AB0EB0" w:rsidP="00AB0EB0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rFonts w:eastAsia="Times New Roman" w:cs="Arial"/>
          <w:color w:val="333333"/>
          <w:sz w:val="28"/>
          <w:szCs w:val="28"/>
          <w:lang w:eastAsia="it-IT"/>
        </w:rPr>
      </w:pP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– nell’</w:t>
      </w:r>
      <w:r w:rsidRPr="00942257">
        <w:rPr>
          <w:rFonts w:eastAsia="Times New Roman" w:cs="Arial"/>
          <w:b/>
          <w:bCs/>
          <w:color w:val="333333"/>
          <w:sz w:val="28"/>
          <w:szCs w:val="28"/>
          <w:lang w:eastAsia="it-IT"/>
        </w:rPr>
        <w:t>azione civile</w:t>
      </w:r>
      <w:r w:rsidR="002B04FC">
        <w:rPr>
          <w:rFonts w:eastAsia="Times New Roman" w:cs="Arial"/>
          <w:b/>
          <w:bCs/>
          <w:color w:val="333333"/>
          <w:sz w:val="28"/>
          <w:szCs w:val="28"/>
          <w:lang w:eastAsia="it-IT"/>
        </w:rPr>
        <w:t xml:space="preserve"> </w:t>
      </w: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esercitata nel processo penale;</w:t>
      </w:r>
    </w:p>
    <w:p w14:paraId="613B5D3F" w14:textId="77777777" w:rsidR="00AB0EB0" w:rsidRPr="00942257" w:rsidRDefault="00AB0EB0" w:rsidP="00AB0EB0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rFonts w:eastAsia="Times New Roman" w:cs="Arial"/>
          <w:color w:val="333333"/>
          <w:sz w:val="28"/>
          <w:szCs w:val="28"/>
          <w:lang w:eastAsia="it-IT"/>
        </w:rPr>
      </w:pP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– nei casi in cui la parte</w:t>
      </w:r>
      <w:r w:rsidR="002B04FC">
        <w:rPr>
          <w:rFonts w:eastAsia="Times New Roman" w:cs="Arial"/>
          <w:color w:val="333333"/>
          <w:sz w:val="28"/>
          <w:szCs w:val="28"/>
          <w:lang w:eastAsia="it-IT"/>
        </w:rPr>
        <w:t xml:space="preserve"> </w:t>
      </w:r>
      <w:r w:rsidRPr="00942257">
        <w:rPr>
          <w:rFonts w:eastAsia="Times New Roman" w:cs="Arial"/>
          <w:b/>
          <w:bCs/>
          <w:color w:val="333333"/>
          <w:sz w:val="28"/>
          <w:szCs w:val="28"/>
          <w:lang w:eastAsia="it-IT"/>
        </w:rPr>
        <w:t>può stare in giudizio personalmente</w:t>
      </w:r>
      <w:r w:rsidRPr="00942257">
        <w:rPr>
          <w:rFonts w:eastAsia="Times New Roman" w:cs="Arial"/>
          <w:color w:val="333333"/>
          <w:sz w:val="28"/>
          <w:szCs w:val="28"/>
          <w:lang w:eastAsia="it-IT"/>
        </w:rPr>
        <w:t>.</w:t>
      </w:r>
    </w:p>
    <w:p w14:paraId="3D752017" w14:textId="77777777" w:rsidR="00AB0EB0" w:rsidRPr="00942257" w:rsidRDefault="00AB0EB0" w:rsidP="00AB0EB0">
      <w:pPr>
        <w:rPr>
          <w:sz w:val="28"/>
          <w:szCs w:val="28"/>
        </w:rPr>
      </w:pPr>
    </w:p>
    <w:p w14:paraId="515CE2E7" w14:textId="77777777" w:rsidR="00B96078" w:rsidRDefault="00B96078"/>
    <w:sectPr w:rsidR="00B96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EBA0F" w14:textId="77777777" w:rsidR="004C698D" w:rsidRDefault="004C698D" w:rsidP="007866D3">
      <w:pPr>
        <w:spacing w:line="240" w:lineRule="auto"/>
      </w:pPr>
      <w:r>
        <w:separator/>
      </w:r>
    </w:p>
  </w:endnote>
  <w:endnote w:type="continuationSeparator" w:id="0">
    <w:p w14:paraId="70891721" w14:textId="77777777" w:rsidR="004C698D" w:rsidRDefault="004C698D" w:rsidP="00786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C6C51" w14:textId="77777777" w:rsidR="004C698D" w:rsidRDefault="004C698D" w:rsidP="007866D3">
      <w:pPr>
        <w:spacing w:line="240" w:lineRule="auto"/>
      </w:pPr>
      <w:r>
        <w:separator/>
      </w:r>
    </w:p>
  </w:footnote>
  <w:footnote w:type="continuationSeparator" w:id="0">
    <w:p w14:paraId="7C32A197" w14:textId="77777777" w:rsidR="004C698D" w:rsidRDefault="004C698D" w:rsidP="007866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4416E"/>
    <w:multiLevelType w:val="multilevel"/>
    <w:tmpl w:val="C7F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D5F39"/>
    <w:multiLevelType w:val="multilevel"/>
    <w:tmpl w:val="9E82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210AC"/>
    <w:rsid w:val="002B04FC"/>
    <w:rsid w:val="002C5EFB"/>
    <w:rsid w:val="0036544D"/>
    <w:rsid w:val="0037591E"/>
    <w:rsid w:val="004B3725"/>
    <w:rsid w:val="004C698D"/>
    <w:rsid w:val="00503CA3"/>
    <w:rsid w:val="006C6585"/>
    <w:rsid w:val="007866D3"/>
    <w:rsid w:val="00985550"/>
    <w:rsid w:val="00AB0EB0"/>
    <w:rsid w:val="00B67328"/>
    <w:rsid w:val="00B96078"/>
    <w:rsid w:val="00E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801F"/>
  <w15:docId w15:val="{511A1B86-6FFA-4414-A071-89542BF4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66D3"/>
    <w:pPr>
      <w:spacing w:after="0" w:line="480" w:lineRule="auto"/>
      <w:ind w:firstLine="567"/>
      <w:jc w:val="both"/>
    </w:pPr>
    <w:rPr>
      <w:rFonts w:ascii="Garamond" w:eastAsia="Calibri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7866D3"/>
    <w:pPr>
      <w:suppressAutoHyphens/>
      <w:spacing w:line="570" w:lineRule="atLeast"/>
      <w:ind w:firstLine="283"/>
    </w:pPr>
    <w:rPr>
      <w:rFonts w:ascii="Monaco" w:eastAsia="Times New Roman" w:hAnsi="Monaco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866D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6D3"/>
    <w:rPr>
      <w:rFonts w:ascii="Garamond" w:eastAsia="Calibri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866D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6D3"/>
    <w:rPr>
      <w:rFonts w:ascii="Garamond" w:eastAsia="Calibri" w:hAnsi="Garamond" w:cs="Times New Roman"/>
      <w:sz w:val="24"/>
    </w:rPr>
  </w:style>
  <w:style w:type="character" w:styleId="Collegamentoipertestuale">
    <w:name w:val="Hyperlink"/>
    <w:uiPriority w:val="99"/>
    <w:semiHidden/>
    <w:unhideWhenUsed/>
    <w:rsid w:val="00786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9832</cp:lastModifiedBy>
  <cp:revision>7</cp:revision>
  <cp:lastPrinted>2018-03-26T17:36:00Z</cp:lastPrinted>
  <dcterms:created xsi:type="dcterms:W3CDTF">2018-03-25T17:48:00Z</dcterms:created>
  <dcterms:modified xsi:type="dcterms:W3CDTF">2021-05-26T16:17:00Z</dcterms:modified>
</cp:coreProperties>
</file>